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4F9BC" w14:textId="5E921661" w:rsidR="00D84262" w:rsidRDefault="002352D0" w:rsidP="108917F1">
      <w:pPr>
        <w:rPr>
          <w:b/>
          <w:bCs/>
          <w:lang w:val="it-IT"/>
        </w:rPr>
      </w:pPr>
      <w:r w:rsidRPr="108917F1">
        <w:rPr>
          <w:b/>
          <w:bCs/>
          <w:lang w:val="it-IT"/>
        </w:rPr>
        <w:t>T</w:t>
      </w:r>
      <w:r w:rsidR="00EE72F5" w:rsidRPr="108917F1">
        <w:rPr>
          <w:b/>
          <w:bCs/>
          <w:lang w:val="it-IT"/>
        </w:rPr>
        <w:t>rattamento dei dati</w:t>
      </w:r>
      <w:r w:rsidRPr="108917F1">
        <w:rPr>
          <w:b/>
          <w:bCs/>
          <w:lang w:val="it-IT"/>
        </w:rPr>
        <w:t xml:space="preserve"> sensibili in NBFC</w:t>
      </w:r>
    </w:p>
    <w:p w14:paraId="4321B464" w14:textId="77777777" w:rsidR="00EE72F5" w:rsidRDefault="00EE72F5">
      <w:pPr>
        <w:rPr>
          <w:lang w:val="it-IT"/>
        </w:rPr>
      </w:pPr>
    </w:p>
    <w:p w14:paraId="10055678" w14:textId="406FE743" w:rsidR="00EE72F5" w:rsidRPr="008841F3" w:rsidRDefault="76F870C5" w:rsidP="518322EF">
      <w:pPr>
        <w:jc w:val="both"/>
        <w:rPr>
          <w:lang w:val="it-IT"/>
        </w:rPr>
      </w:pPr>
      <w:r w:rsidRPr="008841F3">
        <w:rPr>
          <w:lang w:val="it-IT"/>
        </w:rPr>
        <w:t xml:space="preserve">Gli adempimenti legati al Regolamento U.E. 2016/679 (GDPR) per le attività scientifiche di NBFC hanno riguardato in modo particolare i protocolli che hanno coinvolto o coinvolgeranno trattamenti di dati particolari di soggetti sani e/o affetti da patologia come di seguito dettagliato. </w:t>
      </w:r>
    </w:p>
    <w:p w14:paraId="78568F97" w14:textId="47F99FA2" w:rsidR="00EE72F5" w:rsidRPr="008841F3" w:rsidRDefault="00EE72F5" w:rsidP="67584590">
      <w:pPr>
        <w:jc w:val="both"/>
        <w:rPr>
          <w:lang w:val="it-IT"/>
        </w:rPr>
      </w:pPr>
    </w:p>
    <w:p w14:paraId="3E608245" w14:textId="2007C37E" w:rsidR="00EE72F5" w:rsidRDefault="3F75D9A6" w:rsidP="67584590">
      <w:pPr>
        <w:jc w:val="both"/>
        <w:rPr>
          <w:lang w:val="it-IT"/>
        </w:rPr>
      </w:pPr>
      <w:r w:rsidRPr="008841F3">
        <w:rPr>
          <w:lang w:val="it-IT"/>
        </w:rPr>
        <w:t xml:space="preserve">Al di là degli adempimenti che ogni singolo ente partecipante </w:t>
      </w:r>
      <w:proofErr w:type="gramStart"/>
      <w:r w:rsidRPr="008841F3">
        <w:rPr>
          <w:lang w:val="it-IT"/>
        </w:rPr>
        <w:t>mette in campo</w:t>
      </w:r>
      <w:proofErr w:type="gramEnd"/>
      <w:r w:rsidRPr="008841F3">
        <w:rPr>
          <w:lang w:val="it-IT"/>
        </w:rPr>
        <w:t xml:space="preserve"> al</w:t>
      </w:r>
      <w:r w:rsidRPr="63F7DFE5">
        <w:rPr>
          <w:lang w:val="it-IT"/>
        </w:rPr>
        <w:t>l’interno della propria organizzazione funzionale e del proprio modello organizzativo,</w:t>
      </w:r>
      <w:r w:rsidR="2E18883C" w:rsidRPr="63F7DFE5">
        <w:rPr>
          <w:lang w:val="it-IT"/>
        </w:rPr>
        <w:t xml:space="preserve"> per garantire il rispetto del regolamento,</w:t>
      </w:r>
      <w:r w:rsidRPr="63F7DFE5">
        <w:rPr>
          <w:lang w:val="it-IT"/>
        </w:rPr>
        <w:t xml:space="preserve"> è stato fatto uno sforzo per </w:t>
      </w:r>
      <w:r w:rsidR="46B86942" w:rsidRPr="63F7DFE5">
        <w:rPr>
          <w:lang w:val="it-IT"/>
        </w:rPr>
        <w:t xml:space="preserve">valutare una procedura comune per affrontare le problematiche </w:t>
      </w:r>
      <w:r w:rsidR="18D51CC7" w:rsidRPr="63F7DFE5">
        <w:rPr>
          <w:lang w:val="it-IT"/>
        </w:rPr>
        <w:t xml:space="preserve">privacy </w:t>
      </w:r>
      <w:r w:rsidR="46B86942" w:rsidRPr="63F7DFE5">
        <w:rPr>
          <w:lang w:val="it-IT"/>
        </w:rPr>
        <w:t xml:space="preserve">legate ai protocolli </w:t>
      </w:r>
      <w:r w:rsidR="305F042E" w:rsidRPr="63F7DFE5">
        <w:rPr>
          <w:lang w:val="it-IT"/>
        </w:rPr>
        <w:t>di interesse.</w:t>
      </w:r>
    </w:p>
    <w:p w14:paraId="68104358" w14:textId="4956B750" w:rsidR="00EE72F5" w:rsidRPr="008841F3" w:rsidRDefault="76F870C5" w:rsidP="67584590">
      <w:pPr>
        <w:rPr>
          <w:lang w:val="it-IT"/>
        </w:rPr>
      </w:pPr>
      <w:r w:rsidRPr="67584590">
        <w:rPr>
          <w:lang w:val="it-IT"/>
        </w:rPr>
        <w:t xml:space="preserve"> </w:t>
      </w:r>
    </w:p>
    <w:p w14:paraId="16C99704" w14:textId="4023A8D7" w:rsidR="00EE72F5" w:rsidRPr="008841F3" w:rsidRDefault="76F870C5" w:rsidP="21A0A911">
      <w:pPr>
        <w:jc w:val="both"/>
        <w:rPr>
          <w:lang w:val="it-IT"/>
        </w:rPr>
      </w:pPr>
      <w:r w:rsidRPr="008841F3">
        <w:rPr>
          <w:lang w:val="it-IT"/>
        </w:rPr>
        <w:t xml:space="preserve">Sebbene le casistiche e le coorti considerate siano differenti, come differenti sono i partner coinvolti, le azioni intraprese sono sostanzialmente le stesse e sono volte ad affrontare tutte le richieste del regolamento stesso relativamente alla tipologia di trattamento in oggetto. </w:t>
      </w:r>
    </w:p>
    <w:p w14:paraId="1640E133" w14:textId="1F5136CC" w:rsidR="00EE72F5" w:rsidRPr="008841F3" w:rsidRDefault="76F870C5" w:rsidP="67584590">
      <w:pPr>
        <w:jc w:val="both"/>
        <w:rPr>
          <w:lang w:val="it-IT"/>
        </w:rPr>
      </w:pPr>
      <w:r w:rsidRPr="008841F3">
        <w:rPr>
          <w:lang w:val="it-IT"/>
        </w:rPr>
        <w:t>Sebbene riportate in modo consequenziale, le attività previste sono state spesso portate avanti in parallelo così da poter ottimizzare il processo</w:t>
      </w:r>
      <w:r w:rsidR="4A94DAA0" w:rsidRPr="008841F3">
        <w:rPr>
          <w:lang w:val="it-IT"/>
        </w:rPr>
        <w:t xml:space="preserve"> </w:t>
      </w:r>
      <w:r w:rsidRPr="008841F3">
        <w:rPr>
          <w:lang w:val="it-IT"/>
        </w:rPr>
        <w:t>di avvio dei trattamenti, compatibilmente con la schedulazione delle attività scientifiche.</w:t>
      </w:r>
    </w:p>
    <w:p w14:paraId="3693740A" w14:textId="2EE50648" w:rsidR="00EE72F5" w:rsidRPr="008841F3" w:rsidRDefault="76F870C5" w:rsidP="67584590">
      <w:pPr>
        <w:jc w:val="both"/>
        <w:rPr>
          <w:lang w:val="it-IT"/>
        </w:rPr>
      </w:pPr>
      <w:r w:rsidRPr="67584590">
        <w:rPr>
          <w:lang w:val="it-IT"/>
        </w:rPr>
        <w:t xml:space="preserve"> </w:t>
      </w:r>
    </w:p>
    <w:p w14:paraId="1F56C3DC" w14:textId="57D689AE" w:rsidR="00EE72F5" w:rsidRPr="008841F3" w:rsidRDefault="2A4EBA12" w:rsidP="07762742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8841F3">
        <w:rPr>
          <w:lang w:val="it-IT"/>
        </w:rPr>
        <w:t>per ogni trattamento è stato importante definire "a</w:t>
      </w:r>
      <w:r w:rsidR="261805D0" w:rsidRPr="008841F3">
        <w:rPr>
          <w:lang w:val="it-IT"/>
        </w:rPr>
        <w:t>b</w:t>
      </w:r>
      <w:r w:rsidRPr="008841F3">
        <w:rPr>
          <w:lang w:val="it-IT"/>
        </w:rPr>
        <w:t xml:space="preserve"> </w:t>
      </w:r>
      <w:proofErr w:type="spellStart"/>
      <w:r w:rsidRPr="008841F3">
        <w:rPr>
          <w:lang w:val="it-IT"/>
        </w:rPr>
        <w:t>ini</w:t>
      </w:r>
      <w:r w:rsidR="1ACA2769" w:rsidRPr="008841F3">
        <w:rPr>
          <w:lang w:val="it-IT"/>
        </w:rPr>
        <w:t>t</w:t>
      </w:r>
      <w:r w:rsidRPr="008841F3">
        <w:rPr>
          <w:lang w:val="it-IT"/>
        </w:rPr>
        <w:t>io</w:t>
      </w:r>
      <w:proofErr w:type="spellEnd"/>
      <w:r w:rsidRPr="008841F3">
        <w:rPr>
          <w:lang w:val="it-IT"/>
        </w:rPr>
        <w:t>" chi fossero i partner da coinvolgere nel trattamento e quale fosse il ruolo dei partner</w:t>
      </w:r>
      <w:r w:rsidR="103D3DA7" w:rsidRPr="008841F3">
        <w:rPr>
          <w:lang w:val="it-IT"/>
        </w:rPr>
        <w:t>s</w:t>
      </w:r>
      <w:r w:rsidRPr="008841F3">
        <w:rPr>
          <w:lang w:val="it-IT"/>
        </w:rPr>
        <w:t xml:space="preserve"> coinvolti, rispetto al trattamento dei dati. Sulla base d</w:t>
      </w:r>
      <w:r w:rsidR="4C19C78A" w:rsidRPr="008841F3">
        <w:rPr>
          <w:lang w:val="it-IT"/>
        </w:rPr>
        <w:t>ella definizione d</w:t>
      </w:r>
      <w:r w:rsidRPr="008841F3">
        <w:rPr>
          <w:lang w:val="it-IT"/>
        </w:rPr>
        <w:t xml:space="preserve">i questi ruoli si è proceduto a </w:t>
      </w:r>
      <w:r w:rsidR="13305E1F" w:rsidRPr="008841F3">
        <w:rPr>
          <w:lang w:val="it-IT"/>
        </w:rPr>
        <w:t xml:space="preserve">predisporre e firmare </w:t>
      </w:r>
      <w:r w:rsidRPr="008841F3">
        <w:rPr>
          <w:lang w:val="it-IT"/>
        </w:rPr>
        <w:t>gli accordi di contitolarità</w:t>
      </w:r>
      <w:r w:rsidR="47BAA385" w:rsidRPr="008841F3">
        <w:rPr>
          <w:lang w:val="it-IT"/>
        </w:rPr>
        <w:t>,</w:t>
      </w:r>
      <w:r w:rsidRPr="008841F3">
        <w:rPr>
          <w:lang w:val="it-IT"/>
        </w:rPr>
        <w:t xml:space="preserve"> ai sensi dell'articolo 26 del GDPR, qualora i partner</w:t>
      </w:r>
      <w:r w:rsidR="4388E235" w:rsidRPr="008841F3">
        <w:rPr>
          <w:lang w:val="it-IT"/>
        </w:rPr>
        <w:t xml:space="preserve">s </w:t>
      </w:r>
      <w:r w:rsidRPr="008841F3">
        <w:rPr>
          <w:lang w:val="it-IT"/>
        </w:rPr>
        <w:t>de</w:t>
      </w:r>
      <w:r w:rsidR="42751DB8" w:rsidRPr="008841F3">
        <w:rPr>
          <w:lang w:val="it-IT"/>
        </w:rPr>
        <w:t xml:space="preserve">cidessero </w:t>
      </w:r>
      <w:r w:rsidRPr="008841F3">
        <w:rPr>
          <w:lang w:val="it-IT"/>
        </w:rPr>
        <w:t xml:space="preserve">in modo congiunto mezzo e finalità del trattamento. Qualora tra i partner o </w:t>
      </w:r>
      <w:r w:rsidR="368C7BDC" w:rsidRPr="008841F3">
        <w:rPr>
          <w:lang w:val="it-IT"/>
        </w:rPr>
        <w:t xml:space="preserve">con </w:t>
      </w:r>
      <w:r w:rsidRPr="008841F3">
        <w:rPr>
          <w:lang w:val="it-IT"/>
        </w:rPr>
        <w:t xml:space="preserve">soggetti esterni coinvolti nel processo </w:t>
      </w:r>
      <w:r w:rsidR="364635B2" w:rsidRPr="008841F3">
        <w:rPr>
          <w:lang w:val="it-IT"/>
        </w:rPr>
        <w:t>di trattamento</w:t>
      </w:r>
      <w:r w:rsidR="18CE563D" w:rsidRPr="008841F3">
        <w:rPr>
          <w:lang w:val="it-IT"/>
        </w:rPr>
        <w:t xml:space="preserve"> dati, fosse necessario definire dei </w:t>
      </w:r>
      <w:r w:rsidRPr="008841F3">
        <w:rPr>
          <w:lang w:val="it-IT"/>
        </w:rPr>
        <w:t xml:space="preserve">responsabili del trattamento, </w:t>
      </w:r>
      <w:r w:rsidR="7D1FE89A" w:rsidRPr="008841F3">
        <w:rPr>
          <w:lang w:val="it-IT"/>
        </w:rPr>
        <w:t xml:space="preserve">ai sensi dell'art. 28 del GDPR, </w:t>
      </w:r>
      <w:r w:rsidRPr="008841F3">
        <w:rPr>
          <w:lang w:val="it-IT"/>
        </w:rPr>
        <w:t>sono stati predisposti e sottoscritti accordi di responsabilità</w:t>
      </w:r>
      <w:r w:rsidR="47D223FB" w:rsidRPr="008841F3">
        <w:rPr>
          <w:lang w:val="it-IT"/>
        </w:rPr>
        <w:t>.</w:t>
      </w:r>
    </w:p>
    <w:p w14:paraId="79E0EEB2" w14:textId="4FB6D408" w:rsidR="00EE72F5" w:rsidRPr="008841F3" w:rsidRDefault="2A4EBA12" w:rsidP="07762742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8841F3">
        <w:rPr>
          <w:lang w:val="it-IT"/>
        </w:rPr>
        <w:t>nell'ambito della predisposizione dei documenti da inviare a comitat</w:t>
      </w:r>
      <w:r w:rsidR="6DF448CE" w:rsidRPr="008841F3">
        <w:rPr>
          <w:lang w:val="it-IT"/>
        </w:rPr>
        <w:t>i</w:t>
      </w:r>
      <w:r w:rsidRPr="008841F3">
        <w:rPr>
          <w:lang w:val="it-IT"/>
        </w:rPr>
        <w:t xml:space="preserve"> etic</w:t>
      </w:r>
      <w:r w:rsidR="65B31E5F" w:rsidRPr="008841F3">
        <w:rPr>
          <w:lang w:val="it-IT"/>
        </w:rPr>
        <w:t>i</w:t>
      </w:r>
      <w:r w:rsidRPr="008841F3">
        <w:rPr>
          <w:lang w:val="it-IT"/>
        </w:rPr>
        <w:t xml:space="preserve"> di competenza</w:t>
      </w:r>
      <w:r w:rsidR="1C19CE64" w:rsidRPr="008841F3">
        <w:rPr>
          <w:lang w:val="it-IT"/>
        </w:rPr>
        <w:t xml:space="preserve"> chiamati a dare parere etico sui protocolli di studio, sono state redatte in accordo le informative relative al trattamento dati in caso di rapporti di contitolarità.</w:t>
      </w:r>
    </w:p>
    <w:p w14:paraId="7204A00C" w14:textId="5F79EDC8" w:rsidR="3A768610" w:rsidRPr="008841F3" w:rsidRDefault="3A768610" w:rsidP="67584590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8841F3">
        <w:rPr>
          <w:lang w:val="it-IT"/>
        </w:rPr>
        <w:t>Sono state predisposte, laddove necessario, Valutazioni di Impatto (DPIA) per i trattamenti relativi ai diversi progetti concordati tra i contitolari, nel caso di progetto che prevedano la contitolarità tra i partners coinvolti</w:t>
      </w:r>
    </w:p>
    <w:p w14:paraId="2CA1D0BA" w14:textId="77777777" w:rsidR="00EE72F5" w:rsidRDefault="00EE72F5">
      <w:pPr>
        <w:rPr>
          <w:lang w:val="it-IT"/>
        </w:rPr>
      </w:pPr>
    </w:p>
    <w:p w14:paraId="361F7123" w14:textId="77777777" w:rsidR="00EE72F5" w:rsidRDefault="00EE72F5">
      <w:pPr>
        <w:rPr>
          <w:lang w:val="it-IT"/>
        </w:rPr>
      </w:pPr>
    </w:p>
    <w:p w14:paraId="2208C54A" w14:textId="166C43E0" w:rsidR="00EE72F5" w:rsidRDefault="002DB46A">
      <w:pPr>
        <w:rPr>
          <w:lang w:val="it-IT"/>
        </w:rPr>
      </w:pPr>
      <w:r w:rsidRPr="33885D21">
        <w:rPr>
          <w:lang w:val="it-IT"/>
        </w:rPr>
        <w:t>In tabella</w:t>
      </w:r>
      <w:r w:rsidR="1908CB68" w:rsidRPr="33885D21">
        <w:rPr>
          <w:lang w:val="it-IT"/>
        </w:rPr>
        <w:t xml:space="preserve"> è descritt</w:t>
      </w:r>
      <w:r w:rsidR="42CC9267" w:rsidRPr="33885D21">
        <w:rPr>
          <w:lang w:val="it-IT"/>
        </w:rPr>
        <w:t>o</w:t>
      </w:r>
      <w:r w:rsidR="00EE72F5" w:rsidRPr="33885D21">
        <w:rPr>
          <w:lang w:val="it-IT"/>
        </w:rPr>
        <w:t xml:space="preserve"> per ognuna delle coorti analizzate</w:t>
      </w:r>
      <w:r w:rsidR="70503B5E" w:rsidRPr="33885D21">
        <w:rPr>
          <w:lang w:val="it-IT"/>
        </w:rPr>
        <w:t xml:space="preserve"> l’insieme dei documenti prodotti</w:t>
      </w:r>
      <w:r w:rsidR="38E8F5B3" w:rsidRPr="33885D21">
        <w:rPr>
          <w:lang w:val="it-IT"/>
        </w:rPr>
        <w:t>.</w:t>
      </w:r>
    </w:p>
    <w:p w14:paraId="70EAEE65" w14:textId="77777777" w:rsidR="00EE72F5" w:rsidRDefault="00EE72F5">
      <w:pPr>
        <w:rPr>
          <w:lang w:val="it-IT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943"/>
        <w:gridCol w:w="1656"/>
        <w:gridCol w:w="1174"/>
        <w:gridCol w:w="843"/>
        <w:gridCol w:w="1212"/>
        <w:gridCol w:w="1187"/>
      </w:tblGrid>
      <w:tr w:rsidR="00EE72F5" w:rsidRPr="008841F3" w14:paraId="73E04D96" w14:textId="77777777" w:rsidTr="63F7DFE5">
        <w:trPr>
          <w:trHeight w:val="300"/>
        </w:trPr>
        <w:tc>
          <w:tcPr>
            <w:tcW w:w="1635" w:type="dxa"/>
            <w:vAlign w:val="center"/>
          </w:tcPr>
          <w:p w14:paraId="1A4009D5" w14:textId="2D8C6F17" w:rsidR="00EE72F5" w:rsidRPr="008841F3" w:rsidRDefault="00EE72F5" w:rsidP="33885D21">
            <w:pPr>
              <w:jc w:val="center"/>
              <w:rPr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>Nome coorte</w:t>
            </w:r>
          </w:p>
        </w:tc>
        <w:tc>
          <w:tcPr>
            <w:tcW w:w="2400" w:type="dxa"/>
            <w:vAlign w:val="center"/>
          </w:tcPr>
          <w:p w14:paraId="25C5F0AB" w14:textId="21ECD90D" w:rsidR="00EE72F5" w:rsidRPr="008841F3" w:rsidRDefault="00EE72F5" w:rsidP="33885D21">
            <w:pPr>
              <w:jc w:val="center"/>
              <w:rPr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>Comitato etico (documento presentato, data, n. protocollo)</w:t>
            </w:r>
          </w:p>
        </w:tc>
        <w:tc>
          <w:tcPr>
            <w:tcW w:w="1155" w:type="dxa"/>
            <w:vAlign w:val="center"/>
          </w:tcPr>
          <w:p w14:paraId="35AEA41E" w14:textId="208A93EE" w:rsidR="00EE72F5" w:rsidRPr="008841F3" w:rsidRDefault="00EE72F5" w:rsidP="33885D21">
            <w:pPr>
              <w:jc w:val="center"/>
              <w:rPr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>Consenso informato</w:t>
            </w:r>
          </w:p>
        </w:tc>
        <w:tc>
          <w:tcPr>
            <w:tcW w:w="705" w:type="dxa"/>
            <w:vAlign w:val="center"/>
          </w:tcPr>
          <w:p w14:paraId="07DADE21" w14:textId="45B88762" w:rsidR="00EE72F5" w:rsidRPr="008841F3" w:rsidRDefault="00EE72F5" w:rsidP="33885D21">
            <w:pPr>
              <w:jc w:val="center"/>
              <w:rPr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>DPIA</w:t>
            </w:r>
          </w:p>
        </w:tc>
        <w:tc>
          <w:tcPr>
            <w:tcW w:w="1560" w:type="dxa"/>
            <w:vAlign w:val="center"/>
          </w:tcPr>
          <w:p w14:paraId="7288598C" w14:textId="29469BAC" w:rsidR="00EE72F5" w:rsidRPr="008841F3" w:rsidRDefault="00EE72F5" w:rsidP="33885D21">
            <w:pPr>
              <w:jc w:val="center"/>
              <w:rPr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 xml:space="preserve">Contratto di responsabilità o </w:t>
            </w:r>
            <w:proofErr w:type="spellStart"/>
            <w:r w:rsidRPr="008841F3">
              <w:rPr>
                <w:b/>
                <w:bCs/>
                <w:sz w:val="15"/>
                <w:szCs w:val="15"/>
                <w:lang w:val="it-IT"/>
              </w:rPr>
              <w:t>cotitolarità</w:t>
            </w:r>
            <w:proofErr w:type="spellEnd"/>
          </w:p>
        </w:tc>
        <w:tc>
          <w:tcPr>
            <w:tcW w:w="1560" w:type="dxa"/>
            <w:vAlign w:val="center"/>
          </w:tcPr>
          <w:p w14:paraId="09D5A4B0" w14:textId="3032F60F" w:rsidR="14CFD619" w:rsidRPr="008841F3" w:rsidRDefault="14CFD619" w:rsidP="33885D21">
            <w:pPr>
              <w:jc w:val="center"/>
              <w:rPr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>Partner coinvolti</w:t>
            </w:r>
          </w:p>
        </w:tc>
      </w:tr>
      <w:tr w:rsidR="00EE72F5" w:rsidRPr="008841F3" w14:paraId="42583C48" w14:textId="77777777" w:rsidTr="63F7DFE5">
        <w:trPr>
          <w:trHeight w:val="300"/>
        </w:trPr>
        <w:tc>
          <w:tcPr>
            <w:tcW w:w="1635" w:type="dxa"/>
            <w:vAlign w:val="center"/>
          </w:tcPr>
          <w:p w14:paraId="7F0D6BC0" w14:textId="5A1BE34B" w:rsidR="00EE72F5" w:rsidRPr="008841F3" w:rsidRDefault="24425E5F" w:rsidP="412AE14F">
            <w:pPr>
              <w:jc w:val="center"/>
              <w:rPr>
                <w:rFonts w:ascii="Aptos" w:eastAsia="Aptos" w:hAnsi="Aptos" w:cs="Aptos"/>
                <w:b/>
                <w:bCs/>
                <w:sz w:val="15"/>
                <w:szCs w:val="15"/>
              </w:rPr>
            </w:pPr>
            <w:r w:rsidRPr="008841F3">
              <w:rPr>
                <w:rFonts w:ascii="Aptos" w:eastAsia="Aptos" w:hAnsi="Aptos" w:cs="Aptos"/>
                <w:b/>
                <w:bCs/>
                <w:sz w:val="15"/>
                <w:szCs w:val="15"/>
              </w:rPr>
              <w:t>EXPOSITION</w:t>
            </w:r>
            <w:r w:rsidR="19482FD4" w:rsidRPr="008841F3">
              <w:rPr>
                <w:rFonts w:ascii="Aptos" w:eastAsia="Aptos" w:hAnsi="Aptos" w:cs="Aptos"/>
                <w:b/>
                <w:bCs/>
                <w:sz w:val="15"/>
                <w:szCs w:val="15"/>
              </w:rPr>
              <w:t xml:space="preserve"> - </w:t>
            </w:r>
            <w:proofErr w:type="spellStart"/>
            <w:r w:rsidR="19482FD4" w:rsidRPr="008841F3">
              <w:rPr>
                <w:rFonts w:ascii="Aptos" w:eastAsia="Aptos" w:hAnsi="Aptos" w:cs="Aptos"/>
                <w:sz w:val="15"/>
                <w:szCs w:val="15"/>
              </w:rPr>
              <w:t>EXPosome</w:t>
            </w:r>
            <w:proofErr w:type="spellEnd"/>
            <w:r w:rsidR="19482FD4" w:rsidRPr="008841F3">
              <w:rPr>
                <w:rFonts w:ascii="Aptos" w:eastAsia="Aptos" w:hAnsi="Aptos" w:cs="Aptos"/>
                <w:sz w:val="15"/>
                <w:szCs w:val="15"/>
              </w:rPr>
              <w:t xml:space="preserve">, Oxidative Stress and </w:t>
            </w:r>
            <w:proofErr w:type="spellStart"/>
            <w:r w:rsidR="19482FD4" w:rsidRPr="008841F3">
              <w:rPr>
                <w:rFonts w:ascii="Aptos" w:eastAsia="Aptos" w:hAnsi="Aptos" w:cs="Aptos"/>
                <w:sz w:val="15"/>
                <w:szCs w:val="15"/>
              </w:rPr>
              <w:t>InflammatioN</w:t>
            </w:r>
            <w:proofErr w:type="spellEnd"/>
            <w:r w:rsidR="19482FD4" w:rsidRPr="008841F3">
              <w:rPr>
                <w:rFonts w:ascii="Aptos" w:eastAsia="Aptos" w:hAnsi="Aptos" w:cs="Aptos"/>
                <w:sz w:val="15"/>
                <w:szCs w:val="15"/>
              </w:rPr>
              <w:t xml:space="preserve"> in persons with multiple sclerosis</w:t>
            </w:r>
          </w:p>
        </w:tc>
        <w:tc>
          <w:tcPr>
            <w:tcW w:w="2400" w:type="dxa"/>
            <w:vAlign w:val="center"/>
          </w:tcPr>
          <w:p w14:paraId="40EB931F" w14:textId="588BF9FA" w:rsidR="00EE72F5" w:rsidRPr="008841F3" w:rsidRDefault="2C8762E2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Protocollo approvato in data 25 luglio 2023 dal Comitato Etico Territoriale Lombardia 6. (Prot. N.</w:t>
            </w:r>
            <w:r w:rsidR="6D4F3FE9" w:rsidRPr="008841F3">
              <w:rPr>
                <w:sz w:val="15"/>
                <w:szCs w:val="15"/>
                <w:lang w:val="it-IT"/>
              </w:rPr>
              <w:t xml:space="preserve"> </w:t>
            </w:r>
            <w:r w:rsidRPr="008841F3">
              <w:rPr>
                <w:sz w:val="15"/>
                <w:szCs w:val="15"/>
                <w:lang w:val="it-IT"/>
              </w:rPr>
              <w:t>0040083/23</w:t>
            </w:r>
            <w:r w:rsidR="311DD0BF" w:rsidRPr="008841F3">
              <w:rPr>
                <w:sz w:val="15"/>
                <w:szCs w:val="15"/>
                <w:lang w:val="it-IT"/>
              </w:rPr>
              <w:t>)</w:t>
            </w:r>
          </w:p>
        </w:tc>
        <w:tc>
          <w:tcPr>
            <w:tcW w:w="1155" w:type="dxa"/>
            <w:vAlign w:val="center"/>
          </w:tcPr>
          <w:p w14:paraId="2877D52B" w14:textId="08CF6FA3" w:rsidR="00EE72F5" w:rsidRPr="008841F3" w:rsidRDefault="4DBA2AE0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SI, nel documento presentato al Comitato Etico</w:t>
            </w:r>
          </w:p>
        </w:tc>
        <w:tc>
          <w:tcPr>
            <w:tcW w:w="705" w:type="dxa"/>
            <w:vAlign w:val="center"/>
          </w:tcPr>
          <w:p w14:paraId="1839A259" w14:textId="4E2B624E" w:rsidR="00EE72F5" w:rsidRPr="008841F3" w:rsidRDefault="4DBA2AE0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SI</w:t>
            </w:r>
          </w:p>
        </w:tc>
        <w:tc>
          <w:tcPr>
            <w:tcW w:w="1560" w:type="dxa"/>
            <w:vAlign w:val="center"/>
          </w:tcPr>
          <w:p w14:paraId="7615EDFF" w14:textId="64E37D8E" w:rsidR="00EE72F5" w:rsidRPr="008841F3" w:rsidRDefault="2461D7DF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SI, Contratto di Contitolarità Mondino-Un</w:t>
            </w:r>
            <w:r w:rsidR="0E5A55B0" w:rsidRPr="008841F3">
              <w:rPr>
                <w:sz w:val="15"/>
                <w:szCs w:val="15"/>
                <w:lang w:val="it-IT"/>
              </w:rPr>
              <w:t xml:space="preserve">iversità di Pavia </w:t>
            </w:r>
            <w:r w:rsidRPr="008841F3">
              <w:rPr>
                <w:sz w:val="15"/>
                <w:szCs w:val="15"/>
                <w:lang w:val="it-IT"/>
              </w:rPr>
              <w:t>-IBSBC (ex IBFM)</w:t>
            </w:r>
          </w:p>
        </w:tc>
        <w:tc>
          <w:tcPr>
            <w:tcW w:w="1560" w:type="dxa"/>
            <w:vAlign w:val="center"/>
          </w:tcPr>
          <w:p w14:paraId="42C09837" w14:textId="789957DD" w:rsidR="326DA108" w:rsidRPr="008841F3" w:rsidRDefault="5F048B14" w:rsidP="63F7DFE5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rFonts w:ascii="Aptos" w:eastAsia="Aptos" w:hAnsi="Aptos" w:cs="Aptos"/>
                <w:sz w:val="15"/>
                <w:szCs w:val="15"/>
                <w:lang w:val="it-IT"/>
              </w:rPr>
              <w:t>Studio multicentrico che vede coinvolti:</w:t>
            </w:r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r w:rsidR="69F40D50" w:rsidRPr="008841F3">
              <w:rPr>
                <w:rFonts w:ascii="Aptos" w:eastAsia="Aptos" w:hAnsi="Aptos" w:cs="Aptos"/>
                <w:sz w:val="15"/>
                <w:szCs w:val="15"/>
                <w:lang w:val="it-IT"/>
              </w:rPr>
              <w:t xml:space="preserve">Fondazione IRCCS Istituto </w:t>
            </w:r>
            <w:r w:rsidR="69F40D50" w:rsidRPr="008841F3">
              <w:rPr>
                <w:rFonts w:ascii="Aptos" w:eastAsia="Aptos" w:hAnsi="Aptos" w:cs="Aptos"/>
                <w:sz w:val="15"/>
                <w:szCs w:val="15"/>
                <w:lang w:val="it-IT"/>
              </w:rPr>
              <w:lastRenderedPageBreak/>
              <w:t xml:space="preserve">Neurologico C. </w:t>
            </w:r>
            <w:r w:rsidR="5D5AB07E" w:rsidRPr="008841F3">
              <w:rPr>
                <w:sz w:val="15"/>
                <w:szCs w:val="15"/>
                <w:lang w:val="it-IT"/>
              </w:rPr>
              <w:t>Mondino (P</w:t>
            </w:r>
            <w:r w:rsidR="02FE024E" w:rsidRPr="008841F3">
              <w:rPr>
                <w:sz w:val="15"/>
                <w:szCs w:val="15"/>
                <w:lang w:val="it-IT"/>
              </w:rPr>
              <w:t>V</w:t>
            </w:r>
            <w:r w:rsidR="5D5AB07E" w:rsidRPr="008841F3">
              <w:rPr>
                <w:sz w:val="15"/>
                <w:szCs w:val="15"/>
                <w:lang w:val="it-IT"/>
              </w:rPr>
              <w:t>), Università degli Studi di Pavia, Consiglio Nazionale delle Ricerche (CNR)</w:t>
            </w:r>
          </w:p>
        </w:tc>
      </w:tr>
      <w:tr w:rsidR="00EE72F5" w:rsidRPr="008841F3" w14:paraId="282305D2" w14:textId="77777777" w:rsidTr="63F7DFE5">
        <w:trPr>
          <w:trHeight w:val="300"/>
        </w:trPr>
        <w:tc>
          <w:tcPr>
            <w:tcW w:w="1635" w:type="dxa"/>
            <w:vAlign w:val="center"/>
          </w:tcPr>
          <w:p w14:paraId="4E0D7E88" w14:textId="0098CFD9" w:rsidR="00EE72F5" w:rsidRPr="008841F3" w:rsidRDefault="0955FE87" w:rsidP="33885D21">
            <w:pPr>
              <w:jc w:val="center"/>
              <w:rPr>
                <w:rFonts w:ascii="Aptos" w:eastAsia="Aptos" w:hAnsi="Aptos" w:cs="Aptos"/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rFonts w:ascii="Aptos" w:eastAsia="Aptos" w:hAnsi="Aptos" w:cs="Aptos"/>
                <w:b/>
                <w:bCs/>
                <w:sz w:val="15"/>
                <w:szCs w:val="15"/>
                <w:lang w:val="it-IT"/>
              </w:rPr>
              <w:lastRenderedPageBreak/>
              <w:t xml:space="preserve">Coorte </w:t>
            </w:r>
            <w:r w:rsidR="3EE4221C" w:rsidRPr="008841F3">
              <w:rPr>
                <w:rFonts w:ascii="Aptos" w:eastAsia="Aptos" w:hAnsi="Aptos" w:cs="Aptos"/>
                <w:b/>
                <w:bCs/>
                <w:sz w:val="15"/>
                <w:szCs w:val="15"/>
                <w:lang w:val="it-IT"/>
              </w:rPr>
              <w:t xml:space="preserve">DISBIOSI_AMBIENTE – </w:t>
            </w:r>
            <w:r w:rsidR="3EE4221C" w:rsidRPr="008841F3">
              <w:rPr>
                <w:rFonts w:ascii="Aptos" w:eastAsia="Aptos" w:hAnsi="Aptos" w:cs="Aptos"/>
                <w:sz w:val="15"/>
                <w:szCs w:val="15"/>
                <w:lang w:val="it-IT"/>
              </w:rPr>
              <w:t>Studio del ruol</w:t>
            </w:r>
            <w:r w:rsidR="75878634" w:rsidRPr="008841F3">
              <w:rPr>
                <w:rFonts w:ascii="Aptos" w:eastAsia="Aptos" w:hAnsi="Aptos" w:cs="Aptos"/>
                <w:sz w:val="15"/>
                <w:szCs w:val="15"/>
                <w:lang w:val="it-IT"/>
              </w:rPr>
              <w:t>o dei fattori ambientali nell’eziopatogenesi della disbiosi associata a Disturbi Cronici Gastrointestinali</w:t>
            </w:r>
          </w:p>
        </w:tc>
        <w:tc>
          <w:tcPr>
            <w:tcW w:w="2400" w:type="dxa"/>
            <w:vAlign w:val="center"/>
          </w:tcPr>
          <w:p w14:paraId="76BC0237" w14:textId="22CB4657" w:rsidR="00EE72F5" w:rsidRPr="008841F3" w:rsidRDefault="04E6307D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r w:rsidR="3C4F8DE5" w:rsidRPr="008841F3">
              <w:rPr>
                <w:sz w:val="15"/>
                <w:szCs w:val="15"/>
                <w:lang w:val="it-IT"/>
              </w:rPr>
              <w:t>Protocollo iniziale</w:t>
            </w:r>
            <w:r w:rsidRPr="008841F3">
              <w:rPr>
                <w:sz w:val="15"/>
                <w:szCs w:val="15"/>
                <w:lang w:val="it-IT"/>
              </w:rPr>
              <w:t xml:space="preserve"> presentato</w:t>
            </w:r>
            <w:r w:rsidR="5473CD8A" w:rsidRPr="008841F3">
              <w:rPr>
                <w:sz w:val="15"/>
                <w:szCs w:val="15"/>
                <w:lang w:val="it-IT"/>
              </w:rPr>
              <w:t xml:space="preserve"> al Comitato Etico</w:t>
            </w:r>
            <w:r w:rsidRPr="008841F3">
              <w:rPr>
                <w:sz w:val="15"/>
                <w:szCs w:val="15"/>
                <w:lang w:val="it-IT"/>
              </w:rPr>
              <w:t xml:space="preserve"> il 21.12.</w:t>
            </w:r>
            <w:r w:rsidR="18F58E0B" w:rsidRPr="008841F3">
              <w:rPr>
                <w:sz w:val="15"/>
                <w:szCs w:val="15"/>
                <w:lang w:val="it-IT"/>
              </w:rPr>
              <w:t xml:space="preserve">2022 </w:t>
            </w:r>
            <w:r w:rsidR="2B65B462" w:rsidRPr="008841F3">
              <w:rPr>
                <w:sz w:val="15"/>
                <w:szCs w:val="15"/>
                <w:lang w:val="it-IT"/>
              </w:rPr>
              <w:t>(</w:t>
            </w:r>
            <w:r w:rsidR="18F58E0B" w:rsidRPr="008841F3">
              <w:rPr>
                <w:sz w:val="15"/>
                <w:szCs w:val="15"/>
                <w:lang w:val="it-IT"/>
              </w:rPr>
              <w:t xml:space="preserve">protocollo </w:t>
            </w:r>
            <w:proofErr w:type="spellStart"/>
            <w:r w:rsidR="18F58E0B" w:rsidRPr="008841F3">
              <w:rPr>
                <w:sz w:val="15"/>
                <w:szCs w:val="15"/>
                <w:lang w:val="it-IT"/>
              </w:rPr>
              <w:t>n.PAR</w:t>
            </w:r>
            <w:proofErr w:type="spellEnd"/>
            <w:r w:rsidR="1A1322FF" w:rsidRPr="008841F3">
              <w:rPr>
                <w:sz w:val="15"/>
                <w:szCs w:val="15"/>
                <w:lang w:val="it-IT"/>
              </w:rPr>
              <w:t xml:space="preserve"> </w:t>
            </w:r>
            <w:r w:rsidR="18F58E0B" w:rsidRPr="008841F3">
              <w:rPr>
                <w:sz w:val="15"/>
                <w:szCs w:val="15"/>
                <w:lang w:val="it-IT"/>
              </w:rPr>
              <w:t>109.22 OSS</w:t>
            </w:r>
            <w:r w:rsidR="05932564" w:rsidRPr="008841F3">
              <w:rPr>
                <w:sz w:val="15"/>
                <w:szCs w:val="15"/>
                <w:lang w:val="it-IT"/>
              </w:rPr>
              <w:t>)</w:t>
            </w:r>
            <w:r w:rsidR="18F58E0B" w:rsidRPr="008841F3">
              <w:rPr>
                <w:sz w:val="15"/>
                <w:szCs w:val="15"/>
                <w:lang w:val="it-IT"/>
              </w:rPr>
              <w:t xml:space="preserve">, emendamento </w:t>
            </w:r>
            <w:r w:rsidR="3AB336FF" w:rsidRPr="008841F3">
              <w:rPr>
                <w:sz w:val="15"/>
                <w:szCs w:val="15"/>
                <w:lang w:val="it-IT"/>
              </w:rPr>
              <w:t>presentato il 17.05.2023 e approvato nella stessa data</w:t>
            </w:r>
            <w:r w:rsidR="560053BA" w:rsidRPr="008841F3">
              <w:rPr>
                <w:sz w:val="15"/>
                <w:szCs w:val="15"/>
                <w:lang w:val="it-IT"/>
              </w:rPr>
              <w:t>.</w:t>
            </w:r>
          </w:p>
        </w:tc>
        <w:tc>
          <w:tcPr>
            <w:tcW w:w="1155" w:type="dxa"/>
            <w:vAlign w:val="center"/>
          </w:tcPr>
          <w:p w14:paraId="25ADFDE1" w14:textId="5EB1C10B" w:rsidR="00EE72F5" w:rsidRPr="008841F3" w:rsidRDefault="3B38F0B5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SI, per Comitato </w:t>
            </w:r>
            <w:r w:rsidR="43B9DEDF" w:rsidRPr="008841F3">
              <w:rPr>
                <w:sz w:val="15"/>
                <w:szCs w:val="15"/>
                <w:lang w:val="it-IT"/>
              </w:rPr>
              <w:t>Etico</w:t>
            </w:r>
            <w:r w:rsidRPr="008841F3">
              <w:rPr>
                <w:sz w:val="15"/>
                <w:szCs w:val="15"/>
                <w:lang w:val="it-IT"/>
              </w:rPr>
              <w:t xml:space="preserve"> (</w:t>
            </w:r>
            <w:r w:rsidR="7EB7383A" w:rsidRPr="008841F3">
              <w:rPr>
                <w:sz w:val="15"/>
                <w:szCs w:val="15"/>
                <w:lang w:val="it-IT"/>
              </w:rPr>
              <w:t>Documento revisione 2 del 05.05.2023</w:t>
            </w:r>
            <w:r w:rsidR="7EBA9F0E" w:rsidRPr="008841F3">
              <w:rPr>
                <w:sz w:val="15"/>
                <w:szCs w:val="15"/>
                <w:lang w:val="it-IT"/>
              </w:rPr>
              <w:t>)</w:t>
            </w:r>
          </w:p>
        </w:tc>
        <w:tc>
          <w:tcPr>
            <w:tcW w:w="705" w:type="dxa"/>
            <w:vAlign w:val="center"/>
          </w:tcPr>
          <w:p w14:paraId="1EF16AFF" w14:textId="1EA3FC07" w:rsidR="00EE72F5" w:rsidRPr="008841F3" w:rsidRDefault="354FC54F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Da fare</w:t>
            </w:r>
          </w:p>
        </w:tc>
        <w:tc>
          <w:tcPr>
            <w:tcW w:w="1560" w:type="dxa"/>
            <w:vAlign w:val="center"/>
          </w:tcPr>
          <w:p w14:paraId="2EA26C57" w14:textId="4384AE4B" w:rsidR="00EE72F5" w:rsidRPr="008841F3" w:rsidRDefault="53BDCC88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Da fare</w:t>
            </w:r>
          </w:p>
        </w:tc>
        <w:tc>
          <w:tcPr>
            <w:tcW w:w="1560" w:type="dxa"/>
            <w:vAlign w:val="center"/>
          </w:tcPr>
          <w:p w14:paraId="16D34533" w14:textId="7302D491" w:rsidR="34DF0B10" w:rsidRPr="008841F3" w:rsidRDefault="34DF0B10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rFonts w:ascii="Aptos" w:eastAsia="Aptos" w:hAnsi="Aptos" w:cs="Aptos"/>
                <w:sz w:val="15"/>
                <w:szCs w:val="15"/>
                <w:lang w:val="it-IT"/>
              </w:rPr>
              <w:t>Studio multicentrico che vede coinvolti:</w:t>
            </w:r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r w:rsidR="3EDB7932" w:rsidRPr="008841F3">
              <w:rPr>
                <w:sz w:val="15"/>
                <w:szCs w:val="15"/>
                <w:lang w:val="it-IT"/>
              </w:rPr>
              <w:t>Campus Biomedico (Roma), Università degli Studi di Pavia, Consiglio Nazionale delle Ricerche (CNR)</w:t>
            </w:r>
          </w:p>
        </w:tc>
      </w:tr>
      <w:tr w:rsidR="00EE72F5" w:rsidRPr="008841F3" w14:paraId="614F058E" w14:textId="77777777" w:rsidTr="63F7DFE5">
        <w:trPr>
          <w:trHeight w:val="300"/>
        </w:trPr>
        <w:tc>
          <w:tcPr>
            <w:tcW w:w="1635" w:type="dxa"/>
            <w:vAlign w:val="center"/>
          </w:tcPr>
          <w:p w14:paraId="7A637C11" w14:textId="2E950373" w:rsidR="00EE72F5" w:rsidRPr="008841F3" w:rsidRDefault="5AA9FBE9" w:rsidP="518322EF">
            <w:pPr>
              <w:jc w:val="center"/>
              <w:rPr>
                <w:sz w:val="15"/>
                <w:szCs w:val="15"/>
              </w:rPr>
            </w:pPr>
            <w:r w:rsidRPr="008841F3">
              <w:rPr>
                <w:b/>
                <w:bCs/>
                <w:sz w:val="15"/>
                <w:szCs w:val="15"/>
              </w:rPr>
              <w:t>LIMIT</w:t>
            </w:r>
            <w:r w:rsidR="2F165088" w:rsidRPr="008841F3">
              <w:rPr>
                <w:b/>
                <w:bCs/>
                <w:sz w:val="15"/>
                <w:szCs w:val="15"/>
              </w:rPr>
              <w:t xml:space="preserve"> - </w:t>
            </w:r>
            <w:proofErr w:type="spellStart"/>
            <w:r w:rsidR="2F165088" w:rsidRPr="008841F3">
              <w:rPr>
                <w:sz w:val="15"/>
                <w:szCs w:val="15"/>
              </w:rPr>
              <w:t>LIfestyle</w:t>
            </w:r>
            <w:proofErr w:type="spellEnd"/>
            <w:r w:rsidR="2F165088" w:rsidRPr="008841F3">
              <w:rPr>
                <w:sz w:val="15"/>
                <w:szCs w:val="15"/>
              </w:rPr>
              <w:t xml:space="preserve"> and Microbiome </w:t>
            </w:r>
            <w:proofErr w:type="spellStart"/>
            <w:r w:rsidR="2F165088" w:rsidRPr="008841F3">
              <w:rPr>
                <w:sz w:val="15"/>
                <w:szCs w:val="15"/>
              </w:rPr>
              <w:t>InTeraction</w:t>
            </w:r>
            <w:proofErr w:type="spellEnd"/>
            <w:r w:rsidR="2F165088" w:rsidRPr="008841F3">
              <w:rPr>
                <w:sz w:val="15"/>
                <w:szCs w:val="15"/>
              </w:rPr>
              <w:t xml:space="preserve"> Early Adiposity</w:t>
            </w:r>
          </w:p>
          <w:p w14:paraId="410663FF" w14:textId="6A5CEDF4" w:rsidR="00EE72F5" w:rsidRPr="008841F3" w:rsidRDefault="74A35791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Rebound in Children</w:t>
            </w:r>
          </w:p>
          <w:p w14:paraId="41DE5232" w14:textId="60CB8564" w:rsidR="00EE72F5" w:rsidRPr="008841F3" w:rsidRDefault="00EE72F5" w:rsidP="33885D21">
            <w:pPr>
              <w:jc w:val="center"/>
              <w:rPr>
                <w:b/>
                <w:bCs/>
                <w:sz w:val="15"/>
                <w:szCs w:val="15"/>
                <w:lang w:val="it-IT"/>
              </w:rPr>
            </w:pPr>
          </w:p>
          <w:p w14:paraId="5F2A839E" w14:textId="58F2E270" w:rsidR="00EE72F5" w:rsidRPr="008841F3" w:rsidRDefault="30A718F2" w:rsidP="33885D21">
            <w:pPr>
              <w:jc w:val="center"/>
              <w:rPr>
                <w:sz w:val="15"/>
                <w:szCs w:val="15"/>
              </w:rPr>
            </w:pPr>
            <w:r w:rsidRPr="008841F3">
              <w:rPr>
                <w:sz w:val="15"/>
                <w:szCs w:val="15"/>
                <w:lang w:val="it-IT"/>
              </w:rPr>
              <w:t>[protocollo pubbl</w:t>
            </w:r>
            <w:r w:rsidR="2F1F7188" w:rsidRPr="008841F3">
              <w:rPr>
                <w:sz w:val="15"/>
                <w:szCs w:val="15"/>
                <w:lang w:val="it-IT"/>
              </w:rPr>
              <w:t xml:space="preserve">icato: </w:t>
            </w:r>
            <w:r w:rsidR="216C31FC" w:rsidRPr="008841F3">
              <w:rPr>
                <w:sz w:val="15"/>
                <w:szCs w:val="15"/>
                <w:lang w:val="it-IT"/>
              </w:rPr>
              <w:t xml:space="preserve">De Giuseppe </w:t>
            </w:r>
            <w:r w:rsidR="216C31FC" w:rsidRPr="008841F3">
              <w:rPr>
                <w:i/>
                <w:iCs/>
                <w:sz w:val="15"/>
                <w:szCs w:val="15"/>
                <w:lang w:val="it-IT"/>
              </w:rPr>
              <w:t>et al.</w:t>
            </w:r>
            <w:r w:rsidR="216C31FC" w:rsidRPr="008841F3">
              <w:rPr>
                <w:sz w:val="15"/>
                <w:szCs w:val="15"/>
                <w:lang w:val="it-IT"/>
              </w:rPr>
              <w:t xml:space="preserve"> </w:t>
            </w:r>
            <w:r w:rsidR="2F1F7188" w:rsidRPr="008841F3">
              <w:rPr>
                <w:sz w:val="15"/>
                <w:szCs w:val="15"/>
              </w:rPr>
              <w:t xml:space="preserve">Metabolites 2022, 12, 809. </w:t>
            </w:r>
            <w:hyperlink r:id="rId5">
              <w:r w:rsidR="2F1F7188" w:rsidRPr="008841F3">
                <w:rPr>
                  <w:rStyle w:val="Hyperlink"/>
                  <w:sz w:val="15"/>
                  <w:szCs w:val="15"/>
                </w:rPr>
                <w:t>https://doi.org/10.3390/metabo12090809]</w:t>
              </w:r>
            </w:hyperlink>
          </w:p>
          <w:p w14:paraId="62A31650" w14:textId="2FED6B2F" w:rsidR="00EE72F5" w:rsidRPr="008841F3" w:rsidRDefault="00EE72F5" w:rsidP="33885D2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00" w:type="dxa"/>
            <w:vAlign w:val="center"/>
          </w:tcPr>
          <w:p w14:paraId="1853A096" w14:textId="1F1EEBC9" w:rsidR="00EE72F5" w:rsidRPr="008841F3" w:rsidRDefault="5763B3B0" w:rsidP="33885D21">
            <w:pPr>
              <w:jc w:val="center"/>
              <w:rPr>
                <w:sz w:val="15"/>
                <w:szCs w:val="15"/>
              </w:rPr>
            </w:pPr>
            <w:r w:rsidRPr="008841F3">
              <w:rPr>
                <w:sz w:val="15"/>
                <w:szCs w:val="15"/>
              </w:rPr>
              <w:t>The study was conducted following the Declaration of</w:t>
            </w:r>
          </w:p>
          <w:p w14:paraId="643E35FB" w14:textId="7817360C" w:rsidR="00EE72F5" w:rsidRPr="008841F3" w:rsidRDefault="6417CE20" w:rsidP="518322EF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Helsinki. 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Ethical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approval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was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granted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 by the 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Ethical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 Committee </w:t>
            </w:r>
            <w:r w:rsidR="70AD6DC9" w:rsidRPr="008841F3">
              <w:rPr>
                <w:sz w:val="15"/>
                <w:szCs w:val="15"/>
                <w:lang w:val="it-IT"/>
              </w:rPr>
              <w:t xml:space="preserve">Parere favorevole del </w:t>
            </w:r>
            <w:r w:rsidR="70AD6DC9" w:rsidRPr="008841F3">
              <w:rPr>
                <w:b/>
                <w:bCs/>
                <w:sz w:val="15"/>
                <w:szCs w:val="15"/>
                <w:lang w:val="it-IT"/>
              </w:rPr>
              <w:t>Comitato Etico</w:t>
            </w:r>
            <w:r w:rsidR="70AD6DC9" w:rsidRPr="008841F3">
              <w:rPr>
                <w:sz w:val="15"/>
                <w:szCs w:val="15"/>
                <w:lang w:val="it-IT"/>
              </w:rPr>
              <w:t xml:space="preserve"> presso </w:t>
            </w:r>
            <w:r w:rsidRPr="008841F3">
              <w:rPr>
                <w:sz w:val="15"/>
                <w:szCs w:val="15"/>
                <w:lang w:val="it-IT"/>
              </w:rPr>
              <w:t>IRCCS Policlinico San Matteo</w:t>
            </w:r>
          </w:p>
          <w:p w14:paraId="3451A14C" w14:textId="68CFA359" w:rsidR="00EE72F5" w:rsidRPr="008841F3" w:rsidRDefault="5763B3B0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(Pavia) (protocol</w:t>
            </w:r>
            <w:r w:rsidR="3EE312AE" w:rsidRPr="008841F3">
              <w:rPr>
                <w:sz w:val="15"/>
                <w:szCs w:val="15"/>
                <w:lang w:val="it-IT"/>
              </w:rPr>
              <w:t>lo</w:t>
            </w:r>
            <w:r w:rsidRPr="008841F3">
              <w:rPr>
                <w:sz w:val="15"/>
                <w:szCs w:val="15"/>
                <w:lang w:val="it-IT"/>
              </w:rPr>
              <w:t xml:space="preserve"> 0020200/22; </w:t>
            </w:r>
            <w:r w:rsidR="60F4F677" w:rsidRPr="008841F3">
              <w:rPr>
                <w:sz w:val="15"/>
                <w:szCs w:val="15"/>
                <w:lang w:val="it-IT"/>
              </w:rPr>
              <w:t xml:space="preserve">data: </w:t>
            </w:r>
            <w:r w:rsidRPr="008841F3">
              <w:rPr>
                <w:sz w:val="15"/>
                <w:szCs w:val="15"/>
                <w:lang w:val="it-IT"/>
              </w:rPr>
              <w:t xml:space="preserve">11/04/2022). </w:t>
            </w:r>
          </w:p>
          <w:p w14:paraId="09779A8C" w14:textId="6B8CE1A6" w:rsidR="00EE72F5" w:rsidRPr="008841F3" w:rsidRDefault="61CD7E18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+ </w:t>
            </w:r>
          </w:p>
          <w:p w14:paraId="0775AEDA" w14:textId="60E71A71" w:rsidR="00EE72F5" w:rsidRPr="008841F3" w:rsidRDefault="7706BA42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Parere favorevole alla richiesta di </w:t>
            </w:r>
            <w:proofErr w:type="spellStart"/>
            <w:r w:rsidR="61CD7E18" w:rsidRPr="008841F3">
              <w:rPr>
                <w:b/>
                <w:bCs/>
                <w:sz w:val="15"/>
                <w:szCs w:val="15"/>
                <w:lang w:val="it-IT"/>
              </w:rPr>
              <w:t>Emedamento</w:t>
            </w:r>
            <w:proofErr w:type="spellEnd"/>
            <w:r w:rsidR="127098FB" w:rsidRPr="008841F3">
              <w:rPr>
                <w:b/>
                <w:bCs/>
                <w:sz w:val="15"/>
                <w:szCs w:val="15"/>
                <w:lang w:val="it-IT"/>
              </w:rPr>
              <w:t xml:space="preserve"> </w:t>
            </w:r>
            <w:r w:rsidR="14AE511B" w:rsidRPr="008841F3">
              <w:rPr>
                <w:b/>
                <w:bCs/>
                <w:sz w:val="15"/>
                <w:szCs w:val="15"/>
                <w:lang w:val="it-IT"/>
              </w:rPr>
              <w:t>non sostanziale</w:t>
            </w:r>
            <w:r w:rsidR="61CD7E18" w:rsidRPr="008841F3">
              <w:rPr>
                <w:sz w:val="15"/>
                <w:szCs w:val="15"/>
                <w:lang w:val="it-IT"/>
              </w:rPr>
              <w:t xml:space="preserve"> </w:t>
            </w:r>
            <w:r w:rsidR="4FDA861B" w:rsidRPr="008841F3">
              <w:rPr>
                <w:sz w:val="15"/>
                <w:szCs w:val="15"/>
                <w:lang w:val="it-IT"/>
              </w:rPr>
              <w:t>presso IRCCS Policlinico San Matteo</w:t>
            </w:r>
          </w:p>
          <w:p w14:paraId="2CAD3264" w14:textId="48CCB230" w:rsidR="00EE72F5" w:rsidRPr="008841F3" w:rsidRDefault="4FDA861B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(Pavia) (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protocol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number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: 0024604/24; </w:t>
            </w:r>
            <w:proofErr w:type="spellStart"/>
            <w:r w:rsidRPr="008841F3">
              <w:rPr>
                <w:sz w:val="15"/>
                <w:szCs w:val="15"/>
                <w:lang w:val="it-IT"/>
              </w:rPr>
              <w:t>accepted</w:t>
            </w:r>
            <w:proofErr w:type="spellEnd"/>
            <w:r w:rsidRPr="008841F3">
              <w:rPr>
                <w:sz w:val="15"/>
                <w:szCs w:val="15"/>
                <w:lang w:val="it-IT"/>
              </w:rPr>
              <w:t xml:space="preserve">: </w:t>
            </w:r>
            <w:r w:rsidR="57031577" w:rsidRPr="008841F3">
              <w:rPr>
                <w:sz w:val="15"/>
                <w:szCs w:val="15"/>
                <w:lang w:val="it-IT"/>
              </w:rPr>
              <w:t>02</w:t>
            </w:r>
            <w:r w:rsidRPr="008841F3">
              <w:rPr>
                <w:sz w:val="15"/>
                <w:szCs w:val="15"/>
                <w:lang w:val="it-IT"/>
              </w:rPr>
              <w:t>/0</w:t>
            </w:r>
            <w:r w:rsidR="45042C03" w:rsidRPr="008841F3">
              <w:rPr>
                <w:sz w:val="15"/>
                <w:szCs w:val="15"/>
                <w:lang w:val="it-IT"/>
              </w:rPr>
              <w:t>5</w:t>
            </w:r>
            <w:r w:rsidRPr="008841F3">
              <w:rPr>
                <w:sz w:val="15"/>
                <w:szCs w:val="15"/>
                <w:lang w:val="it-IT"/>
              </w:rPr>
              <w:t>/202</w:t>
            </w:r>
            <w:r w:rsidR="11F5CF08" w:rsidRPr="008841F3">
              <w:rPr>
                <w:sz w:val="15"/>
                <w:szCs w:val="15"/>
                <w:lang w:val="it-IT"/>
              </w:rPr>
              <w:t>4</w:t>
            </w:r>
            <w:r w:rsidRPr="008841F3">
              <w:rPr>
                <w:sz w:val="15"/>
                <w:szCs w:val="15"/>
                <w:lang w:val="it-IT"/>
              </w:rPr>
              <w:t>)</w:t>
            </w:r>
          </w:p>
          <w:p w14:paraId="2E26ABA6" w14:textId="4640F254" w:rsidR="00EE72F5" w:rsidRPr="008841F3" w:rsidRDefault="651DD408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+</w:t>
            </w:r>
          </w:p>
          <w:p w14:paraId="42984915" w14:textId="6C0C0CAF" w:rsidR="00EE72F5" w:rsidRPr="008841F3" w:rsidRDefault="651DD408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 xml:space="preserve">Registrazione del protocollo </w:t>
            </w:r>
            <w:r w:rsidRPr="008841F3">
              <w:rPr>
                <w:sz w:val="15"/>
                <w:szCs w:val="15"/>
                <w:lang w:val="it-IT"/>
              </w:rPr>
              <w:t xml:space="preserve">presso la piattaforma </w:t>
            </w:r>
            <w:hyperlink r:id="rId6">
              <w:r w:rsidRPr="008841F3">
                <w:rPr>
                  <w:rStyle w:val="Hyperlink"/>
                  <w:sz w:val="15"/>
                  <w:szCs w:val="15"/>
                  <w:lang w:val="it-IT"/>
                </w:rPr>
                <w:t>www.clinicaltrials.gov</w:t>
              </w:r>
            </w:hyperlink>
            <w:r w:rsidRPr="008841F3">
              <w:rPr>
                <w:sz w:val="15"/>
                <w:szCs w:val="15"/>
                <w:lang w:val="it-IT"/>
              </w:rPr>
              <w:t xml:space="preserve">  (ID: NCT04960670</w:t>
            </w:r>
          </w:p>
          <w:p w14:paraId="552CBC1D" w14:textId="26F5C434" w:rsidR="00EE72F5" w:rsidRPr="008841F3" w:rsidRDefault="00EE72F5" w:rsidP="33885D21">
            <w:pPr>
              <w:jc w:val="center"/>
              <w:rPr>
                <w:sz w:val="15"/>
                <w:szCs w:val="15"/>
                <w:lang w:val="it-IT"/>
              </w:rPr>
            </w:pPr>
          </w:p>
          <w:p w14:paraId="5ADCF5A6" w14:textId="0C14CD88" w:rsidR="00EE72F5" w:rsidRPr="008841F3" w:rsidRDefault="70BE64FB" w:rsidP="33885D21">
            <w:pPr>
              <w:spacing w:line="259" w:lineRule="auto"/>
              <w:jc w:val="center"/>
              <w:rPr>
                <w:i/>
                <w:iCs/>
                <w:sz w:val="15"/>
                <w:szCs w:val="15"/>
                <w:lang w:val="it-IT"/>
              </w:rPr>
            </w:pPr>
            <w:r w:rsidRPr="008841F3">
              <w:rPr>
                <w:i/>
                <w:iCs/>
                <w:sz w:val="15"/>
                <w:szCs w:val="15"/>
                <w:lang w:val="it-IT"/>
              </w:rPr>
              <w:t>[Documenti contenuti in cartella]</w:t>
            </w:r>
          </w:p>
          <w:p w14:paraId="6E8B8D2B" w14:textId="49758CAA" w:rsidR="00EE72F5" w:rsidRPr="008841F3" w:rsidRDefault="00EE72F5" w:rsidP="33885D21">
            <w:pPr>
              <w:jc w:val="center"/>
              <w:rPr>
                <w:sz w:val="15"/>
                <w:szCs w:val="15"/>
                <w:lang w:val="it-IT"/>
              </w:rPr>
            </w:pPr>
          </w:p>
          <w:p w14:paraId="259BF0C7" w14:textId="2FB4B790" w:rsidR="00EE72F5" w:rsidRPr="008841F3" w:rsidRDefault="00EE72F5" w:rsidP="33885D21">
            <w:pPr>
              <w:jc w:val="center"/>
              <w:rPr>
                <w:sz w:val="15"/>
                <w:szCs w:val="15"/>
                <w:lang w:val="it-IT"/>
              </w:rPr>
            </w:pPr>
          </w:p>
        </w:tc>
        <w:tc>
          <w:tcPr>
            <w:tcW w:w="1155" w:type="dxa"/>
            <w:vAlign w:val="center"/>
          </w:tcPr>
          <w:p w14:paraId="1E771775" w14:textId="5AA18234" w:rsidR="00EE72F5" w:rsidRPr="008841F3" w:rsidRDefault="183832C4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SI, per comitato Etico; </w:t>
            </w:r>
          </w:p>
          <w:p w14:paraId="4542F3E4" w14:textId="7C0F00F6" w:rsidR="00EE72F5" w:rsidRPr="008841F3" w:rsidRDefault="183832C4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SI per </w:t>
            </w:r>
            <w:r w:rsidR="63A448D6" w:rsidRPr="008841F3">
              <w:rPr>
                <w:sz w:val="15"/>
                <w:szCs w:val="15"/>
                <w:lang w:val="it-IT"/>
              </w:rPr>
              <w:t>e</w:t>
            </w:r>
          </w:p>
          <w:p w14:paraId="69FE5017" w14:textId="4455B8B9" w:rsidR="00EE72F5" w:rsidRPr="008841F3" w:rsidRDefault="63A448D6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E</w:t>
            </w:r>
            <w:r w:rsidR="183832C4" w:rsidRPr="008841F3">
              <w:rPr>
                <w:sz w:val="15"/>
                <w:szCs w:val="15"/>
                <w:lang w:val="it-IT"/>
              </w:rPr>
              <w:t>mendamento</w:t>
            </w:r>
          </w:p>
          <w:p w14:paraId="59BF3761" w14:textId="4EC607B9" w:rsidR="00EE72F5" w:rsidRPr="008841F3" w:rsidRDefault="00EE72F5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</w:p>
          <w:p w14:paraId="6A70C37A" w14:textId="0C14CD88" w:rsidR="00EE72F5" w:rsidRPr="008841F3" w:rsidRDefault="3E7AA921" w:rsidP="33885D21">
            <w:pPr>
              <w:spacing w:line="259" w:lineRule="auto"/>
              <w:jc w:val="center"/>
              <w:rPr>
                <w:i/>
                <w:iCs/>
                <w:sz w:val="15"/>
                <w:szCs w:val="15"/>
                <w:lang w:val="it-IT"/>
              </w:rPr>
            </w:pPr>
            <w:r w:rsidRPr="008841F3">
              <w:rPr>
                <w:i/>
                <w:iCs/>
                <w:sz w:val="15"/>
                <w:szCs w:val="15"/>
                <w:lang w:val="it-IT"/>
              </w:rPr>
              <w:t>[Documenti contenuti in cartella]</w:t>
            </w:r>
          </w:p>
        </w:tc>
        <w:tc>
          <w:tcPr>
            <w:tcW w:w="705" w:type="dxa"/>
            <w:vAlign w:val="center"/>
          </w:tcPr>
          <w:p w14:paraId="4DAD582F" w14:textId="3CA86A6A" w:rsidR="00EE72F5" w:rsidRPr="008841F3" w:rsidRDefault="00EE72F5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</w:p>
          <w:p w14:paraId="03082093" w14:textId="64050B78" w:rsidR="00EE72F5" w:rsidRPr="008841F3" w:rsidRDefault="183832C4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Da preparare</w:t>
            </w:r>
          </w:p>
        </w:tc>
        <w:tc>
          <w:tcPr>
            <w:tcW w:w="1560" w:type="dxa"/>
            <w:vAlign w:val="center"/>
          </w:tcPr>
          <w:p w14:paraId="046CD9FC" w14:textId="35D42414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</w:p>
          <w:p w14:paraId="6FE30F55" w14:textId="5F5EEB44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</w:p>
          <w:p w14:paraId="6FCEE570" w14:textId="19224B91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</w:p>
          <w:p w14:paraId="6DB35970" w14:textId="46B1AAEE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</w:p>
          <w:p w14:paraId="60470E17" w14:textId="27F39B19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</w:p>
          <w:p w14:paraId="3AED629C" w14:textId="6C86EF54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53EC143B" w14:textId="453641A8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7E2E68E3" w14:textId="0A03F7C3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0A90C792" w14:textId="00B3E96A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5F070B19" w14:textId="20FEFB3C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36C9FBDD" w14:textId="3F0AEFCF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32F3E963" w14:textId="4510A635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3E8C2565" w14:textId="44872CF8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736669C2" w14:textId="56CC2C0E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5A5DDDED" w14:textId="4A41436F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34FE5D15" w14:textId="29714A0B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1B730311" w14:textId="17273A68" w:rsidR="67584590" w:rsidRPr="008841F3" w:rsidRDefault="67584590" w:rsidP="33885D21">
            <w:pPr>
              <w:spacing w:line="259" w:lineRule="auto"/>
              <w:jc w:val="center"/>
              <w:rPr>
                <w:sz w:val="15"/>
                <w:szCs w:val="15"/>
              </w:rPr>
            </w:pPr>
          </w:p>
          <w:p w14:paraId="69D6678A" w14:textId="06E3ED1C" w:rsidR="00EE72F5" w:rsidRPr="008841F3" w:rsidRDefault="632E985F" w:rsidP="7D965AE6">
            <w:pPr>
              <w:spacing w:line="259" w:lineRule="auto"/>
              <w:jc w:val="center"/>
              <w:rPr>
                <w:sz w:val="15"/>
                <w:szCs w:val="15"/>
              </w:rPr>
            </w:pPr>
            <w:r w:rsidRPr="008841F3">
              <w:rPr>
                <w:sz w:val="15"/>
                <w:szCs w:val="15"/>
              </w:rPr>
              <w:t xml:space="preserve">Da </w:t>
            </w:r>
            <w:proofErr w:type="spellStart"/>
            <w:r w:rsidRPr="008841F3">
              <w:rPr>
                <w:sz w:val="15"/>
                <w:szCs w:val="15"/>
              </w:rPr>
              <w:t>preparare</w:t>
            </w:r>
            <w:proofErr w:type="spellEnd"/>
            <w:r w:rsidRPr="008841F3">
              <w:rPr>
                <w:sz w:val="15"/>
                <w:szCs w:val="15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5A9520AE" w14:textId="233F3926" w:rsidR="40612C95" w:rsidRPr="008841F3" w:rsidRDefault="772EEFD6" w:rsidP="7D965AE6">
            <w:pPr>
              <w:spacing w:line="259" w:lineRule="auto"/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r w:rsidR="1F1330FD" w:rsidRPr="008841F3">
              <w:rPr>
                <w:sz w:val="15"/>
                <w:szCs w:val="15"/>
                <w:lang w:val="it-IT"/>
              </w:rPr>
              <w:t>Università degli Studi di Pavia</w:t>
            </w:r>
            <w:r w:rsidR="30897E55" w:rsidRPr="008841F3">
              <w:rPr>
                <w:sz w:val="15"/>
                <w:szCs w:val="15"/>
                <w:lang w:val="it-IT"/>
              </w:rPr>
              <w:t xml:space="preserve"> (studio monocentrico)</w:t>
            </w:r>
          </w:p>
        </w:tc>
      </w:tr>
      <w:tr w:rsidR="00EE72F5" w:rsidRPr="008841F3" w14:paraId="0B7EED72" w14:textId="77777777" w:rsidTr="63F7DFE5">
        <w:trPr>
          <w:trHeight w:val="300"/>
        </w:trPr>
        <w:tc>
          <w:tcPr>
            <w:tcW w:w="1635" w:type="dxa"/>
            <w:vAlign w:val="center"/>
          </w:tcPr>
          <w:p w14:paraId="2F95030F" w14:textId="7976F9DB" w:rsidR="00EE72F5" w:rsidRPr="008841F3" w:rsidRDefault="47A40F7E" w:rsidP="33885D21">
            <w:pPr>
              <w:jc w:val="center"/>
              <w:rPr>
                <w:rFonts w:ascii="Calibri" w:eastAsia="Calibri" w:hAnsi="Calibri" w:cs="Calibri"/>
                <w:b/>
                <w:bCs/>
                <w:sz w:val="15"/>
                <w:szCs w:val="15"/>
                <w:lang w:val="it-IT"/>
              </w:rPr>
            </w:pPr>
            <w:r w:rsidRPr="008841F3">
              <w:rPr>
                <w:b/>
                <w:bCs/>
                <w:sz w:val="15"/>
                <w:szCs w:val="15"/>
                <w:lang w:val="it-IT"/>
              </w:rPr>
              <w:t>EMERGE</w:t>
            </w:r>
            <w:r w:rsidR="39A470C9" w:rsidRPr="008841F3">
              <w:rPr>
                <w:b/>
                <w:bCs/>
                <w:sz w:val="15"/>
                <w:szCs w:val="15"/>
                <w:lang w:val="it-IT"/>
              </w:rPr>
              <w:t xml:space="preserve"> –</w:t>
            </w:r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 xml:space="preserve"> </w:t>
            </w:r>
            <w:proofErr w:type="spellStart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>inquinamEnto</w:t>
            </w:r>
            <w:proofErr w:type="spellEnd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 xml:space="preserve"> </w:t>
            </w:r>
            <w:proofErr w:type="spellStart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>atMosferico</w:t>
            </w:r>
            <w:proofErr w:type="spellEnd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 xml:space="preserve"> E </w:t>
            </w:r>
            <w:proofErr w:type="spellStart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>marcatoRi</w:t>
            </w:r>
            <w:proofErr w:type="spellEnd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 xml:space="preserve"> </w:t>
            </w:r>
            <w:proofErr w:type="spellStart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>epiGenetici</w:t>
            </w:r>
            <w:proofErr w:type="spellEnd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 xml:space="preserve"> di </w:t>
            </w:r>
            <w:proofErr w:type="spellStart"/>
            <w:r w:rsidR="76584803" w:rsidRPr="008841F3">
              <w:rPr>
                <w:rFonts w:ascii="Calibri" w:eastAsia="Calibri" w:hAnsi="Calibri" w:cs="Calibri"/>
                <w:sz w:val="15"/>
                <w:szCs w:val="15"/>
                <w:lang w:val="it-IT"/>
              </w:rPr>
              <w:t>infiammazionE</w:t>
            </w:r>
            <w:proofErr w:type="spellEnd"/>
          </w:p>
        </w:tc>
        <w:tc>
          <w:tcPr>
            <w:tcW w:w="2400" w:type="dxa"/>
            <w:vAlign w:val="center"/>
          </w:tcPr>
          <w:p w14:paraId="02A33490" w14:textId="4F1440AC" w:rsidR="00EE72F5" w:rsidRPr="008841F3" w:rsidRDefault="1016242F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Protocollo iniziale presentato al Comitato Etico il</w:t>
            </w:r>
            <w:r w:rsidR="56DB6ED3" w:rsidRPr="008841F3">
              <w:rPr>
                <w:sz w:val="15"/>
                <w:szCs w:val="15"/>
                <w:lang w:val="it-IT"/>
              </w:rPr>
              <w:t xml:space="preserve">.../09/2024, parere non favorevole </w:t>
            </w:r>
            <w:proofErr w:type="gramStart"/>
            <w:r w:rsidR="56DB6ED3" w:rsidRPr="008841F3">
              <w:rPr>
                <w:sz w:val="15"/>
                <w:szCs w:val="15"/>
                <w:lang w:val="it-IT"/>
              </w:rPr>
              <w:t>del  03</w:t>
            </w:r>
            <w:proofErr w:type="gramEnd"/>
            <w:r w:rsidR="56DB6ED3" w:rsidRPr="008841F3">
              <w:rPr>
                <w:sz w:val="15"/>
                <w:szCs w:val="15"/>
                <w:lang w:val="it-IT"/>
              </w:rPr>
              <w:t>/12/2024; ripresentata richiesta il 19/12/2024</w:t>
            </w:r>
          </w:p>
        </w:tc>
        <w:tc>
          <w:tcPr>
            <w:tcW w:w="1155" w:type="dxa"/>
            <w:vAlign w:val="center"/>
          </w:tcPr>
          <w:p w14:paraId="4A24312F" w14:textId="30967E85" w:rsidR="00EE72F5" w:rsidRPr="008841F3" w:rsidRDefault="5CD25D5E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SI, nel documento presentato al Comitato Etico</w:t>
            </w:r>
          </w:p>
        </w:tc>
        <w:tc>
          <w:tcPr>
            <w:tcW w:w="705" w:type="dxa"/>
            <w:vAlign w:val="center"/>
          </w:tcPr>
          <w:p w14:paraId="697FACBE" w14:textId="12FD877E" w:rsidR="00EE72F5" w:rsidRPr="008841F3" w:rsidRDefault="5CD25D5E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Da fare</w:t>
            </w:r>
          </w:p>
        </w:tc>
        <w:tc>
          <w:tcPr>
            <w:tcW w:w="1560" w:type="dxa"/>
            <w:vAlign w:val="center"/>
          </w:tcPr>
          <w:p w14:paraId="53A6D617" w14:textId="5AF46AD9" w:rsidR="00EE72F5" w:rsidRPr="008841F3" w:rsidRDefault="5CD25D5E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Da fare</w:t>
            </w:r>
          </w:p>
          <w:p w14:paraId="6212EF9B" w14:textId="4C16E259" w:rsidR="00EE72F5" w:rsidRPr="008841F3" w:rsidRDefault="00EE72F5" w:rsidP="33885D21">
            <w:pPr>
              <w:jc w:val="center"/>
              <w:rPr>
                <w:sz w:val="15"/>
                <w:szCs w:val="15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7D7FB575" w14:textId="315DFCA7" w:rsidR="643A5761" w:rsidRPr="008841F3" w:rsidRDefault="643A5761" w:rsidP="3388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 w:themeColor="text1"/>
                <w:sz w:val="15"/>
                <w:szCs w:val="15"/>
                <w:lang w:val="it-IT"/>
              </w:rPr>
            </w:pPr>
            <w:r w:rsidRPr="008841F3">
              <w:rPr>
                <w:rFonts w:eastAsiaTheme="minorEastAsia"/>
                <w:sz w:val="15"/>
                <w:szCs w:val="15"/>
                <w:lang w:val="it-IT"/>
              </w:rPr>
              <w:t xml:space="preserve">Studio multicentrico che vede coinvolti: </w:t>
            </w:r>
            <w:r w:rsidR="0B40715B" w:rsidRPr="008841F3">
              <w:rPr>
                <w:rFonts w:eastAsiaTheme="minorEastAsia"/>
                <w:sz w:val="15"/>
                <w:szCs w:val="15"/>
                <w:lang w:val="it-IT"/>
              </w:rPr>
              <w:t xml:space="preserve">Università Campus </w:t>
            </w:r>
            <w:proofErr w:type="spellStart"/>
            <w:r w:rsidR="0B40715B" w:rsidRPr="008841F3">
              <w:rPr>
                <w:rFonts w:eastAsiaTheme="minorEastAsia"/>
                <w:sz w:val="15"/>
                <w:szCs w:val="15"/>
                <w:lang w:val="it-IT"/>
              </w:rPr>
              <w:t>Bio</w:t>
            </w:r>
            <w:proofErr w:type="spellEnd"/>
            <w:r w:rsidR="0B40715B" w:rsidRPr="008841F3">
              <w:rPr>
                <w:rFonts w:eastAsiaTheme="minorEastAsia"/>
                <w:sz w:val="15"/>
                <w:szCs w:val="15"/>
                <w:lang w:val="it-IT"/>
              </w:rPr>
              <w:t>-medico di Roma, Consiglio Nazionale delle Ricerche (CNR), Università “La Sapienza” di Roma</w:t>
            </w:r>
          </w:p>
          <w:p w14:paraId="040B1FFC" w14:textId="690C6F40" w:rsidR="33885D21" w:rsidRPr="008841F3" w:rsidRDefault="33885D21" w:rsidP="33885D21">
            <w:pPr>
              <w:jc w:val="center"/>
              <w:rPr>
                <w:sz w:val="15"/>
                <w:szCs w:val="15"/>
                <w:lang w:val="it-IT"/>
              </w:rPr>
            </w:pPr>
          </w:p>
        </w:tc>
      </w:tr>
      <w:tr w:rsidR="33885D21" w:rsidRPr="008841F3" w14:paraId="78F54C5A" w14:textId="77777777" w:rsidTr="63F7DFE5">
        <w:trPr>
          <w:trHeight w:val="300"/>
        </w:trPr>
        <w:tc>
          <w:tcPr>
            <w:tcW w:w="1635" w:type="dxa"/>
            <w:vAlign w:val="center"/>
          </w:tcPr>
          <w:p w14:paraId="5258FEF6" w14:textId="2F9D8007" w:rsidR="47A40F7E" w:rsidRPr="008841F3" w:rsidRDefault="47A40F7E" w:rsidP="33885D21">
            <w:pPr>
              <w:spacing w:line="259" w:lineRule="auto"/>
              <w:jc w:val="center"/>
              <w:rPr>
                <w:rFonts w:eastAsiaTheme="minorEastAsia"/>
                <w:sz w:val="15"/>
                <w:szCs w:val="15"/>
                <w:lang w:val="it-IT"/>
              </w:rPr>
            </w:pPr>
            <w:r w:rsidRPr="008841F3">
              <w:rPr>
                <w:rFonts w:eastAsiaTheme="minorEastAsia"/>
                <w:b/>
                <w:bCs/>
                <w:sz w:val="15"/>
                <w:szCs w:val="15"/>
                <w:lang w:val="it-IT"/>
              </w:rPr>
              <w:lastRenderedPageBreak/>
              <w:t xml:space="preserve">IDEA </w:t>
            </w:r>
            <w:r w:rsidRPr="008841F3">
              <w:rPr>
                <w:rFonts w:eastAsiaTheme="minorEastAsia"/>
                <w:sz w:val="15"/>
                <w:szCs w:val="15"/>
                <w:lang w:val="it-IT"/>
              </w:rPr>
              <w:t>(partner di BAC)</w:t>
            </w:r>
            <w:r w:rsidR="1483BD02" w:rsidRPr="008841F3">
              <w:rPr>
                <w:rFonts w:eastAsiaTheme="minorEastAsia"/>
                <w:sz w:val="15"/>
                <w:szCs w:val="15"/>
                <w:lang w:val="it-IT"/>
              </w:rPr>
              <w:t xml:space="preserve"> - Impatto dell’ambiente urbano sull’età biologica: effetto della qualità dell’aria e dello stress lavorativo a Pavia su citochine infiammatorie e profilo di metilazione del DNA</w:t>
            </w:r>
          </w:p>
        </w:tc>
        <w:tc>
          <w:tcPr>
            <w:tcW w:w="2400" w:type="dxa"/>
            <w:vAlign w:val="center"/>
          </w:tcPr>
          <w:p w14:paraId="64FD545E" w14:textId="6B9E7CD1" w:rsidR="47A40F7E" w:rsidRPr="008841F3" w:rsidRDefault="47A40F7E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 xml:space="preserve">Protocollo iniziale presentato al Comitato </w:t>
            </w:r>
            <w:proofErr w:type="gramStart"/>
            <w:r w:rsidRPr="008841F3">
              <w:rPr>
                <w:sz w:val="15"/>
                <w:szCs w:val="15"/>
                <w:lang w:val="it-IT"/>
              </w:rPr>
              <w:t>Etico  il</w:t>
            </w:r>
            <w:proofErr w:type="gramEnd"/>
            <w:r w:rsidRPr="008841F3">
              <w:rPr>
                <w:sz w:val="15"/>
                <w:szCs w:val="15"/>
                <w:lang w:val="it-IT"/>
              </w:rPr>
              <w:t xml:space="preserve"> </w:t>
            </w:r>
            <w:r w:rsidR="034709E3" w:rsidRPr="008841F3">
              <w:rPr>
                <w:sz w:val="15"/>
                <w:szCs w:val="15"/>
                <w:lang w:val="it-IT"/>
              </w:rPr>
              <w:t>16</w:t>
            </w:r>
            <w:r w:rsidRPr="008841F3">
              <w:rPr>
                <w:sz w:val="15"/>
                <w:szCs w:val="15"/>
                <w:lang w:val="it-IT"/>
              </w:rPr>
              <w:t>.</w:t>
            </w:r>
            <w:r w:rsidR="2FE7DB0B" w:rsidRPr="008841F3">
              <w:rPr>
                <w:sz w:val="15"/>
                <w:szCs w:val="15"/>
                <w:lang w:val="it-IT"/>
              </w:rPr>
              <w:t>07</w:t>
            </w:r>
            <w:r w:rsidRPr="008841F3">
              <w:rPr>
                <w:sz w:val="15"/>
                <w:szCs w:val="15"/>
                <w:lang w:val="it-IT"/>
              </w:rPr>
              <w:t>.202</w:t>
            </w:r>
            <w:r w:rsidR="2568C362" w:rsidRPr="008841F3">
              <w:rPr>
                <w:sz w:val="15"/>
                <w:szCs w:val="15"/>
                <w:lang w:val="it-IT"/>
              </w:rPr>
              <w:t>4</w:t>
            </w:r>
            <w:r w:rsidR="77D491B0" w:rsidRPr="008841F3">
              <w:rPr>
                <w:sz w:val="15"/>
                <w:szCs w:val="15"/>
                <w:lang w:val="it-IT"/>
              </w:rPr>
              <w:t>, parere favorevole</w:t>
            </w:r>
          </w:p>
        </w:tc>
        <w:tc>
          <w:tcPr>
            <w:tcW w:w="1155" w:type="dxa"/>
            <w:vAlign w:val="center"/>
          </w:tcPr>
          <w:p w14:paraId="156019A4" w14:textId="14BD5B48" w:rsidR="74628308" w:rsidRPr="008841F3" w:rsidRDefault="74628308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SI, per Comitato Etico</w:t>
            </w:r>
            <w:r w:rsidR="5711D7E6" w:rsidRPr="008841F3">
              <w:rPr>
                <w:sz w:val="15"/>
                <w:szCs w:val="15"/>
                <w:lang w:val="it-IT"/>
              </w:rPr>
              <w:t xml:space="preserve"> (Da aggiornare e ripresentare)</w:t>
            </w:r>
            <w:r w:rsidRPr="008841F3">
              <w:rPr>
                <w:sz w:val="15"/>
                <w:szCs w:val="15"/>
                <w:lang w:val="it-IT"/>
              </w:rPr>
              <w:t>; manca CR</w:t>
            </w:r>
            <w:r w:rsidR="2D3AB1F0" w:rsidRPr="008841F3">
              <w:rPr>
                <w:sz w:val="15"/>
                <w:szCs w:val="15"/>
                <w:lang w:val="it-IT"/>
              </w:rPr>
              <w:t>F</w:t>
            </w:r>
          </w:p>
        </w:tc>
        <w:tc>
          <w:tcPr>
            <w:tcW w:w="705" w:type="dxa"/>
            <w:vAlign w:val="center"/>
          </w:tcPr>
          <w:p w14:paraId="30702B19" w14:textId="2BEBCD6E" w:rsidR="33885D21" w:rsidRPr="008841F3" w:rsidRDefault="33885D21" w:rsidP="33885D21">
            <w:pPr>
              <w:jc w:val="center"/>
              <w:rPr>
                <w:sz w:val="15"/>
                <w:szCs w:val="15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3282D08F" w14:textId="087DB26B" w:rsidR="33885D21" w:rsidRPr="008841F3" w:rsidRDefault="33885D21" w:rsidP="33885D21">
            <w:pPr>
              <w:jc w:val="center"/>
              <w:rPr>
                <w:sz w:val="15"/>
                <w:szCs w:val="15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091A3552" w14:textId="058C6D7E" w:rsidR="2568C362" w:rsidRPr="008841F3" w:rsidRDefault="2568C362" w:rsidP="33885D21">
            <w:pPr>
              <w:jc w:val="center"/>
              <w:rPr>
                <w:sz w:val="15"/>
                <w:szCs w:val="15"/>
                <w:lang w:val="it-IT"/>
              </w:rPr>
            </w:pPr>
            <w:r w:rsidRPr="008841F3">
              <w:rPr>
                <w:sz w:val="15"/>
                <w:szCs w:val="15"/>
                <w:lang w:val="it-IT"/>
              </w:rPr>
              <w:t>ICS Maugeri IRCCS di Pavia</w:t>
            </w:r>
            <w:r w:rsidR="50F69BAE" w:rsidRPr="008841F3">
              <w:rPr>
                <w:sz w:val="15"/>
                <w:szCs w:val="15"/>
                <w:lang w:val="it-IT"/>
              </w:rPr>
              <w:t xml:space="preserve"> (studio monocentrico)</w:t>
            </w:r>
          </w:p>
        </w:tc>
      </w:tr>
    </w:tbl>
    <w:p w14:paraId="2A8FC0EA" w14:textId="77777777" w:rsidR="00EE72F5" w:rsidRDefault="00EE72F5" w:rsidP="00EE72F5">
      <w:pPr>
        <w:rPr>
          <w:lang w:val="it-IT"/>
        </w:rPr>
      </w:pPr>
    </w:p>
    <w:p w14:paraId="660F1433" w14:textId="77777777" w:rsidR="00EE72F5" w:rsidRDefault="00EE72F5">
      <w:pPr>
        <w:rPr>
          <w:lang w:val="it-IT"/>
        </w:rPr>
      </w:pPr>
    </w:p>
    <w:p w14:paraId="30B529F4" w14:textId="77777777" w:rsidR="00EE72F5" w:rsidRPr="00EE72F5" w:rsidRDefault="00EE72F5">
      <w:pPr>
        <w:rPr>
          <w:lang w:val="it-IT"/>
        </w:rPr>
      </w:pPr>
    </w:p>
    <w:sectPr w:rsidR="00EE72F5" w:rsidRPr="00EE72F5" w:rsidSect="00F67D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C73F7"/>
    <w:multiLevelType w:val="hybridMultilevel"/>
    <w:tmpl w:val="FFFFFFFF"/>
    <w:lvl w:ilvl="0" w:tplc="4AB0C25C">
      <w:start w:val="1"/>
      <w:numFmt w:val="decimal"/>
      <w:lvlText w:val="%1)"/>
      <w:lvlJc w:val="left"/>
      <w:pPr>
        <w:ind w:left="720" w:hanging="360"/>
      </w:pPr>
    </w:lvl>
    <w:lvl w:ilvl="1" w:tplc="FC3AD29A">
      <w:start w:val="1"/>
      <w:numFmt w:val="lowerLetter"/>
      <w:lvlText w:val="%2."/>
      <w:lvlJc w:val="left"/>
      <w:pPr>
        <w:ind w:left="1440" w:hanging="360"/>
      </w:pPr>
    </w:lvl>
    <w:lvl w:ilvl="2" w:tplc="EF4A8202">
      <w:start w:val="1"/>
      <w:numFmt w:val="lowerRoman"/>
      <w:lvlText w:val="%3."/>
      <w:lvlJc w:val="right"/>
      <w:pPr>
        <w:ind w:left="2160" w:hanging="180"/>
      </w:pPr>
    </w:lvl>
    <w:lvl w:ilvl="3" w:tplc="F702936C">
      <w:start w:val="1"/>
      <w:numFmt w:val="decimal"/>
      <w:lvlText w:val="%4."/>
      <w:lvlJc w:val="left"/>
      <w:pPr>
        <w:ind w:left="2880" w:hanging="360"/>
      </w:pPr>
    </w:lvl>
    <w:lvl w:ilvl="4" w:tplc="286AAD10">
      <w:start w:val="1"/>
      <w:numFmt w:val="lowerLetter"/>
      <w:lvlText w:val="%5."/>
      <w:lvlJc w:val="left"/>
      <w:pPr>
        <w:ind w:left="3600" w:hanging="360"/>
      </w:pPr>
    </w:lvl>
    <w:lvl w:ilvl="5" w:tplc="D4F2E4E2">
      <w:start w:val="1"/>
      <w:numFmt w:val="lowerRoman"/>
      <w:lvlText w:val="%6."/>
      <w:lvlJc w:val="right"/>
      <w:pPr>
        <w:ind w:left="4320" w:hanging="180"/>
      </w:pPr>
    </w:lvl>
    <w:lvl w:ilvl="6" w:tplc="640C7E78">
      <w:start w:val="1"/>
      <w:numFmt w:val="decimal"/>
      <w:lvlText w:val="%7."/>
      <w:lvlJc w:val="left"/>
      <w:pPr>
        <w:ind w:left="5040" w:hanging="360"/>
      </w:pPr>
    </w:lvl>
    <w:lvl w:ilvl="7" w:tplc="56767BE0">
      <w:start w:val="1"/>
      <w:numFmt w:val="lowerLetter"/>
      <w:lvlText w:val="%8."/>
      <w:lvlJc w:val="left"/>
      <w:pPr>
        <w:ind w:left="5760" w:hanging="360"/>
      </w:pPr>
    </w:lvl>
    <w:lvl w:ilvl="8" w:tplc="E2FEDABA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F5"/>
    <w:rsid w:val="00007BFB"/>
    <w:rsid w:val="0001004A"/>
    <w:rsid w:val="00010B03"/>
    <w:rsid w:val="000121B0"/>
    <w:rsid w:val="00012DD2"/>
    <w:rsid w:val="000179B7"/>
    <w:rsid w:val="00030B57"/>
    <w:rsid w:val="00031200"/>
    <w:rsid w:val="000322C1"/>
    <w:rsid w:val="00032E7D"/>
    <w:rsid w:val="00035EB0"/>
    <w:rsid w:val="00036D48"/>
    <w:rsid w:val="00042C72"/>
    <w:rsid w:val="000444A5"/>
    <w:rsid w:val="000450E7"/>
    <w:rsid w:val="00054F31"/>
    <w:rsid w:val="00065236"/>
    <w:rsid w:val="00065E84"/>
    <w:rsid w:val="00072F17"/>
    <w:rsid w:val="00075781"/>
    <w:rsid w:val="00075C57"/>
    <w:rsid w:val="00084408"/>
    <w:rsid w:val="0009033C"/>
    <w:rsid w:val="000970DF"/>
    <w:rsid w:val="000A7CCF"/>
    <w:rsid w:val="000B12A9"/>
    <w:rsid w:val="000B5677"/>
    <w:rsid w:val="000C4847"/>
    <w:rsid w:val="000C7A39"/>
    <w:rsid w:val="000D140A"/>
    <w:rsid w:val="000D3FDD"/>
    <w:rsid w:val="000D46A8"/>
    <w:rsid w:val="000D5090"/>
    <w:rsid w:val="000D6400"/>
    <w:rsid w:val="000D6A89"/>
    <w:rsid w:val="000D6ACF"/>
    <w:rsid w:val="000E214A"/>
    <w:rsid w:val="000E3B5F"/>
    <w:rsid w:val="000E6DE8"/>
    <w:rsid w:val="000F006C"/>
    <w:rsid w:val="001002C4"/>
    <w:rsid w:val="00111516"/>
    <w:rsid w:val="00111FE4"/>
    <w:rsid w:val="001205E3"/>
    <w:rsid w:val="001210C3"/>
    <w:rsid w:val="00123DA2"/>
    <w:rsid w:val="00126F81"/>
    <w:rsid w:val="001318BA"/>
    <w:rsid w:val="00141E67"/>
    <w:rsid w:val="00144BB2"/>
    <w:rsid w:val="00153D31"/>
    <w:rsid w:val="001576EC"/>
    <w:rsid w:val="00175243"/>
    <w:rsid w:val="00182A6F"/>
    <w:rsid w:val="0019104F"/>
    <w:rsid w:val="00197DEA"/>
    <w:rsid w:val="001A3928"/>
    <w:rsid w:val="001A676A"/>
    <w:rsid w:val="001C2A53"/>
    <w:rsid w:val="001C38A9"/>
    <w:rsid w:val="001C7716"/>
    <w:rsid w:val="001D71C3"/>
    <w:rsid w:val="001E62B7"/>
    <w:rsid w:val="001E6B8D"/>
    <w:rsid w:val="001F0F41"/>
    <w:rsid w:val="001F50D8"/>
    <w:rsid w:val="001F5120"/>
    <w:rsid w:val="00210E29"/>
    <w:rsid w:val="00213DA6"/>
    <w:rsid w:val="00213FF3"/>
    <w:rsid w:val="00215259"/>
    <w:rsid w:val="00222D42"/>
    <w:rsid w:val="00224C42"/>
    <w:rsid w:val="00225CB7"/>
    <w:rsid w:val="00230A6D"/>
    <w:rsid w:val="00234556"/>
    <w:rsid w:val="002352D0"/>
    <w:rsid w:val="002352E7"/>
    <w:rsid w:val="002378C7"/>
    <w:rsid w:val="002427CA"/>
    <w:rsid w:val="00252853"/>
    <w:rsid w:val="00256D16"/>
    <w:rsid w:val="00263E04"/>
    <w:rsid w:val="00264AC9"/>
    <w:rsid w:val="00267EF5"/>
    <w:rsid w:val="00277002"/>
    <w:rsid w:val="002774C3"/>
    <w:rsid w:val="0028266F"/>
    <w:rsid w:val="00284EA8"/>
    <w:rsid w:val="0028746C"/>
    <w:rsid w:val="00287800"/>
    <w:rsid w:val="002A1399"/>
    <w:rsid w:val="002A2840"/>
    <w:rsid w:val="002B2D85"/>
    <w:rsid w:val="002B2F0F"/>
    <w:rsid w:val="002B444D"/>
    <w:rsid w:val="002B7A40"/>
    <w:rsid w:val="002C340A"/>
    <w:rsid w:val="002C3B49"/>
    <w:rsid w:val="002C559B"/>
    <w:rsid w:val="002C6228"/>
    <w:rsid w:val="002D38A0"/>
    <w:rsid w:val="002D69BD"/>
    <w:rsid w:val="002D6B32"/>
    <w:rsid w:val="002DB46A"/>
    <w:rsid w:val="002E08BD"/>
    <w:rsid w:val="002E2443"/>
    <w:rsid w:val="002E27B8"/>
    <w:rsid w:val="002E37B1"/>
    <w:rsid w:val="002E3A61"/>
    <w:rsid w:val="002E40B1"/>
    <w:rsid w:val="002F05F7"/>
    <w:rsid w:val="002F098F"/>
    <w:rsid w:val="002F3781"/>
    <w:rsid w:val="0030097D"/>
    <w:rsid w:val="00301B76"/>
    <w:rsid w:val="00305C66"/>
    <w:rsid w:val="0031199B"/>
    <w:rsid w:val="00314346"/>
    <w:rsid w:val="00317FDE"/>
    <w:rsid w:val="00320671"/>
    <w:rsid w:val="003212E9"/>
    <w:rsid w:val="003234B0"/>
    <w:rsid w:val="00323CF9"/>
    <w:rsid w:val="003348BE"/>
    <w:rsid w:val="0034117B"/>
    <w:rsid w:val="003439DC"/>
    <w:rsid w:val="00343A31"/>
    <w:rsid w:val="00347A2C"/>
    <w:rsid w:val="0035162B"/>
    <w:rsid w:val="003539B5"/>
    <w:rsid w:val="0035514E"/>
    <w:rsid w:val="00361D34"/>
    <w:rsid w:val="00362450"/>
    <w:rsid w:val="0036549E"/>
    <w:rsid w:val="00366DB5"/>
    <w:rsid w:val="00371350"/>
    <w:rsid w:val="00372711"/>
    <w:rsid w:val="0037551F"/>
    <w:rsid w:val="00376B24"/>
    <w:rsid w:val="003861F2"/>
    <w:rsid w:val="0039681F"/>
    <w:rsid w:val="003A0590"/>
    <w:rsid w:val="003A1718"/>
    <w:rsid w:val="003A4B16"/>
    <w:rsid w:val="003A6DEE"/>
    <w:rsid w:val="003B6657"/>
    <w:rsid w:val="003C0D2B"/>
    <w:rsid w:val="003C70C4"/>
    <w:rsid w:val="003D52A7"/>
    <w:rsid w:val="003D53EB"/>
    <w:rsid w:val="003D7D86"/>
    <w:rsid w:val="003E458B"/>
    <w:rsid w:val="003E6B5E"/>
    <w:rsid w:val="003F109F"/>
    <w:rsid w:val="00400080"/>
    <w:rsid w:val="00402961"/>
    <w:rsid w:val="00402C0B"/>
    <w:rsid w:val="00410174"/>
    <w:rsid w:val="00416834"/>
    <w:rsid w:val="004212EA"/>
    <w:rsid w:val="00423008"/>
    <w:rsid w:val="00427A0D"/>
    <w:rsid w:val="004339C5"/>
    <w:rsid w:val="00434C68"/>
    <w:rsid w:val="00436239"/>
    <w:rsid w:val="004427EB"/>
    <w:rsid w:val="00443D4A"/>
    <w:rsid w:val="0044792E"/>
    <w:rsid w:val="00451AEF"/>
    <w:rsid w:val="00455122"/>
    <w:rsid w:val="004552DC"/>
    <w:rsid w:val="00457EDB"/>
    <w:rsid w:val="00461971"/>
    <w:rsid w:val="00472C46"/>
    <w:rsid w:val="0047697E"/>
    <w:rsid w:val="00484368"/>
    <w:rsid w:val="00485538"/>
    <w:rsid w:val="00496635"/>
    <w:rsid w:val="004A22D3"/>
    <w:rsid w:val="004B0486"/>
    <w:rsid w:val="004B30E5"/>
    <w:rsid w:val="004B4A81"/>
    <w:rsid w:val="004B698B"/>
    <w:rsid w:val="004D365B"/>
    <w:rsid w:val="004D46FC"/>
    <w:rsid w:val="004D58CC"/>
    <w:rsid w:val="004E2DC3"/>
    <w:rsid w:val="004E5E4A"/>
    <w:rsid w:val="00503155"/>
    <w:rsid w:val="00503FFC"/>
    <w:rsid w:val="00507055"/>
    <w:rsid w:val="005126ED"/>
    <w:rsid w:val="005179F9"/>
    <w:rsid w:val="0052143D"/>
    <w:rsid w:val="00526611"/>
    <w:rsid w:val="005354AC"/>
    <w:rsid w:val="00535C84"/>
    <w:rsid w:val="00544AE9"/>
    <w:rsid w:val="00547556"/>
    <w:rsid w:val="005542EF"/>
    <w:rsid w:val="00557D08"/>
    <w:rsid w:val="0056509D"/>
    <w:rsid w:val="00571E8E"/>
    <w:rsid w:val="005754DB"/>
    <w:rsid w:val="0058080C"/>
    <w:rsid w:val="0058454C"/>
    <w:rsid w:val="005853AB"/>
    <w:rsid w:val="005856DC"/>
    <w:rsid w:val="0059175B"/>
    <w:rsid w:val="00593B03"/>
    <w:rsid w:val="00594269"/>
    <w:rsid w:val="005A28B7"/>
    <w:rsid w:val="005A328C"/>
    <w:rsid w:val="005A61B7"/>
    <w:rsid w:val="005B0B9B"/>
    <w:rsid w:val="005B0C15"/>
    <w:rsid w:val="005B6C46"/>
    <w:rsid w:val="005B72ED"/>
    <w:rsid w:val="005C3DA9"/>
    <w:rsid w:val="005D2A10"/>
    <w:rsid w:val="005D2CBD"/>
    <w:rsid w:val="005D4C37"/>
    <w:rsid w:val="005E0DCF"/>
    <w:rsid w:val="005F45C5"/>
    <w:rsid w:val="005F57FF"/>
    <w:rsid w:val="005F6FE6"/>
    <w:rsid w:val="006041FB"/>
    <w:rsid w:val="006054B3"/>
    <w:rsid w:val="00616D61"/>
    <w:rsid w:val="00634AB7"/>
    <w:rsid w:val="0063506E"/>
    <w:rsid w:val="00640554"/>
    <w:rsid w:val="006568C3"/>
    <w:rsid w:val="00657A61"/>
    <w:rsid w:val="00664EC8"/>
    <w:rsid w:val="00665D13"/>
    <w:rsid w:val="00665D4D"/>
    <w:rsid w:val="00665F61"/>
    <w:rsid w:val="0066644E"/>
    <w:rsid w:val="00670F7F"/>
    <w:rsid w:val="00680495"/>
    <w:rsid w:val="00681619"/>
    <w:rsid w:val="006831E9"/>
    <w:rsid w:val="00687F95"/>
    <w:rsid w:val="006901BF"/>
    <w:rsid w:val="00690C2E"/>
    <w:rsid w:val="00691869"/>
    <w:rsid w:val="00692758"/>
    <w:rsid w:val="00693BE7"/>
    <w:rsid w:val="00695AC7"/>
    <w:rsid w:val="00696C81"/>
    <w:rsid w:val="006A1D7F"/>
    <w:rsid w:val="006C2242"/>
    <w:rsid w:val="006C280B"/>
    <w:rsid w:val="006C4D31"/>
    <w:rsid w:val="006D51FF"/>
    <w:rsid w:val="006D5258"/>
    <w:rsid w:val="006D6CBF"/>
    <w:rsid w:val="006E42D4"/>
    <w:rsid w:val="006E48EB"/>
    <w:rsid w:val="006E7CA3"/>
    <w:rsid w:val="006F7C17"/>
    <w:rsid w:val="00700EA7"/>
    <w:rsid w:val="00701438"/>
    <w:rsid w:val="0070401E"/>
    <w:rsid w:val="007114B7"/>
    <w:rsid w:val="00713826"/>
    <w:rsid w:val="007214D5"/>
    <w:rsid w:val="00723584"/>
    <w:rsid w:val="00725AEA"/>
    <w:rsid w:val="00727686"/>
    <w:rsid w:val="0072770F"/>
    <w:rsid w:val="00731BED"/>
    <w:rsid w:val="00734816"/>
    <w:rsid w:val="0074037E"/>
    <w:rsid w:val="0074352E"/>
    <w:rsid w:val="00745BF9"/>
    <w:rsid w:val="00747D72"/>
    <w:rsid w:val="00753A4A"/>
    <w:rsid w:val="0075784F"/>
    <w:rsid w:val="007602D9"/>
    <w:rsid w:val="00770559"/>
    <w:rsid w:val="00771116"/>
    <w:rsid w:val="007727FE"/>
    <w:rsid w:val="0077366F"/>
    <w:rsid w:val="0078345C"/>
    <w:rsid w:val="00783528"/>
    <w:rsid w:val="00786D24"/>
    <w:rsid w:val="00795875"/>
    <w:rsid w:val="00796865"/>
    <w:rsid w:val="00797009"/>
    <w:rsid w:val="00797DCE"/>
    <w:rsid w:val="007A2F18"/>
    <w:rsid w:val="007A5549"/>
    <w:rsid w:val="007B01B7"/>
    <w:rsid w:val="007B211E"/>
    <w:rsid w:val="007B3B95"/>
    <w:rsid w:val="007C14AF"/>
    <w:rsid w:val="007C190A"/>
    <w:rsid w:val="007C4406"/>
    <w:rsid w:val="007C556F"/>
    <w:rsid w:val="007C6813"/>
    <w:rsid w:val="007D458E"/>
    <w:rsid w:val="007D7F33"/>
    <w:rsid w:val="007E615F"/>
    <w:rsid w:val="007E7017"/>
    <w:rsid w:val="007F5CCE"/>
    <w:rsid w:val="007F653A"/>
    <w:rsid w:val="0080241F"/>
    <w:rsid w:val="00802EE3"/>
    <w:rsid w:val="00803008"/>
    <w:rsid w:val="00812211"/>
    <w:rsid w:val="00812676"/>
    <w:rsid w:val="00823BAD"/>
    <w:rsid w:val="0083189C"/>
    <w:rsid w:val="0084077F"/>
    <w:rsid w:val="00840DB4"/>
    <w:rsid w:val="0084146D"/>
    <w:rsid w:val="008529C7"/>
    <w:rsid w:val="00853877"/>
    <w:rsid w:val="008552CC"/>
    <w:rsid w:val="00866721"/>
    <w:rsid w:val="008722BB"/>
    <w:rsid w:val="0087437F"/>
    <w:rsid w:val="0087543E"/>
    <w:rsid w:val="008841F3"/>
    <w:rsid w:val="0088494B"/>
    <w:rsid w:val="00885DF2"/>
    <w:rsid w:val="00887831"/>
    <w:rsid w:val="00887F53"/>
    <w:rsid w:val="0089052A"/>
    <w:rsid w:val="00891C84"/>
    <w:rsid w:val="008A21D0"/>
    <w:rsid w:val="008C649B"/>
    <w:rsid w:val="008C6828"/>
    <w:rsid w:val="008D0437"/>
    <w:rsid w:val="008D2FA5"/>
    <w:rsid w:val="008E25BF"/>
    <w:rsid w:val="008E3229"/>
    <w:rsid w:val="008F0CF6"/>
    <w:rsid w:val="00902A65"/>
    <w:rsid w:val="00903653"/>
    <w:rsid w:val="00907BD2"/>
    <w:rsid w:val="00914849"/>
    <w:rsid w:val="0091686E"/>
    <w:rsid w:val="0093173D"/>
    <w:rsid w:val="00931D12"/>
    <w:rsid w:val="0093368A"/>
    <w:rsid w:val="00941CD2"/>
    <w:rsid w:val="009438FB"/>
    <w:rsid w:val="0095594D"/>
    <w:rsid w:val="00957146"/>
    <w:rsid w:val="009639AF"/>
    <w:rsid w:val="00964821"/>
    <w:rsid w:val="00965B68"/>
    <w:rsid w:val="00967C8D"/>
    <w:rsid w:val="00970EA1"/>
    <w:rsid w:val="00973FBB"/>
    <w:rsid w:val="00974496"/>
    <w:rsid w:val="009819D8"/>
    <w:rsid w:val="009851FD"/>
    <w:rsid w:val="0098549B"/>
    <w:rsid w:val="00992761"/>
    <w:rsid w:val="00997DF9"/>
    <w:rsid w:val="009A1E41"/>
    <w:rsid w:val="009A21F8"/>
    <w:rsid w:val="009A444A"/>
    <w:rsid w:val="009B693C"/>
    <w:rsid w:val="009B7B6B"/>
    <w:rsid w:val="009C0881"/>
    <w:rsid w:val="009C50F5"/>
    <w:rsid w:val="009C6E98"/>
    <w:rsid w:val="009D4310"/>
    <w:rsid w:val="009D4D83"/>
    <w:rsid w:val="009E0C7C"/>
    <w:rsid w:val="009E23BE"/>
    <w:rsid w:val="009E24C8"/>
    <w:rsid w:val="009E2EF4"/>
    <w:rsid w:val="009E50D3"/>
    <w:rsid w:val="009E7C00"/>
    <w:rsid w:val="009F0652"/>
    <w:rsid w:val="009F2A57"/>
    <w:rsid w:val="009F3A8B"/>
    <w:rsid w:val="00A018D2"/>
    <w:rsid w:val="00A109C1"/>
    <w:rsid w:val="00A206DB"/>
    <w:rsid w:val="00A301E1"/>
    <w:rsid w:val="00A327E1"/>
    <w:rsid w:val="00A37B79"/>
    <w:rsid w:val="00A42666"/>
    <w:rsid w:val="00A43B91"/>
    <w:rsid w:val="00A444F7"/>
    <w:rsid w:val="00A50E94"/>
    <w:rsid w:val="00A53ABF"/>
    <w:rsid w:val="00A5695D"/>
    <w:rsid w:val="00A56BC2"/>
    <w:rsid w:val="00A579AD"/>
    <w:rsid w:val="00A706BE"/>
    <w:rsid w:val="00A77B1D"/>
    <w:rsid w:val="00A802D4"/>
    <w:rsid w:val="00A80BDC"/>
    <w:rsid w:val="00A81F7D"/>
    <w:rsid w:val="00A878F8"/>
    <w:rsid w:val="00A9002D"/>
    <w:rsid w:val="00A91ADF"/>
    <w:rsid w:val="00AA6DEA"/>
    <w:rsid w:val="00AA7365"/>
    <w:rsid w:val="00AB09C4"/>
    <w:rsid w:val="00AC2DF9"/>
    <w:rsid w:val="00AC30C7"/>
    <w:rsid w:val="00AC409D"/>
    <w:rsid w:val="00AC655F"/>
    <w:rsid w:val="00AC667D"/>
    <w:rsid w:val="00AD57FC"/>
    <w:rsid w:val="00AE05CF"/>
    <w:rsid w:val="00AE143C"/>
    <w:rsid w:val="00AE1CC2"/>
    <w:rsid w:val="00AE2596"/>
    <w:rsid w:val="00AF3740"/>
    <w:rsid w:val="00AF40F3"/>
    <w:rsid w:val="00AF461E"/>
    <w:rsid w:val="00B00775"/>
    <w:rsid w:val="00B104ED"/>
    <w:rsid w:val="00B17EC0"/>
    <w:rsid w:val="00B215BE"/>
    <w:rsid w:val="00B40C61"/>
    <w:rsid w:val="00B41815"/>
    <w:rsid w:val="00B41B0B"/>
    <w:rsid w:val="00B439E5"/>
    <w:rsid w:val="00B50483"/>
    <w:rsid w:val="00B72424"/>
    <w:rsid w:val="00B72DB3"/>
    <w:rsid w:val="00B75E56"/>
    <w:rsid w:val="00B76667"/>
    <w:rsid w:val="00B8475E"/>
    <w:rsid w:val="00B847B5"/>
    <w:rsid w:val="00B94B85"/>
    <w:rsid w:val="00BA1A5E"/>
    <w:rsid w:val="00BA2DCB"/>
    <w:rsid w:val="00BA3E41"/>
    <w:rsid w:val="00BA7DC9"/>
    <w:rsid w:val="00BB489E"/>
    <w:rsid w:val="00BB608F"/>
    <w:rsid w:val="00BB7729"/>
    <w:rsid w:val="00BC0453"/>
    <w:rsid w:val="00BC0C41"/>
    <w:rsid w:val="00BC10DB"/>
    <w:rsid w:val="00BC11B5"/>
    <w:rsid w:val="00BC32AC"/>
    <w:rsid w:val="00BC45C8"/>
    <w:rsid w:val="00BD148C"/>
    <w:rsid w:val="00BE2AE1"/>
    <w:rsid w:val="00BF07BF"/>
    <w:rsid w:val="00BF2219"/>
    <w:rsid w:val="00C017C9"/>
    <w:rsid w:val="00C019F5"/>
    <w:rsid w:val="00C050BF"/>
    <w:rsid w:val="00C0694B"/>
    <w:rsid w:val="00C07C6A"/>
    <w:rsid w:val="00C12FFB"/>
    <w:rsid w:val="00C131BD"/>
    <w:rsid w:val="00C13CC8"/>
    <w:rsid w:val="00C15153"/>
    <w:rsid w:val="00C22A25"/>
    <w:rsid w:val="00C2619A"/>
    <w:rsid w:val="00C37178"/>
    <w:rsid w:val="00C378CE"/>
    <w:rsid w:val="00C37939"/>
    <w:rsid w:val="00C452E1"/>
    <w:rsid w:val="00C46A82"/>
    <w:rsid w:val="00C5430C"/>
    <w:rsid w:val="00C54974"/>
    <w:rsid w:val="00C626BD"/>
    <w:rsid w:val="00C73D48"/>
    <w:rsid w:val="00C7428F"/>
    <w:rsid w:val="00C74ADD"/>
    <w:rsid w:val="00C866AE"/>
    <w:rsid w:val="00C9560E"/>
    <w:rsid w:val="00C96BA5"/>
    <w:rsid w:val="00CA113C"/>
    <w:rsid w:val="00CB24B7"/>
    <w:rsid w:val="00CB7F49"/>
    <w:rsid w:val="00CC0836"/>
    <w:rsid w:val="00CC1DF2"/>
    <w:rsid w:val="00CC316D"/>
    <w:rsid w:val="00CC503A"/>
    <w:rsid w:val="00CC5317"/>
    <w:rsid w:val="00CD1E33"/>
    <w:rsid w:val="00CD3F87"/>
    <w:rsid w:val="00CD5DFE"/>
    <w:rsid w:val="00CD62DE"/>
    <w:rsid w:val="00CE22A3"/>
    <w:rsid w:val="00CE27DA"/>
    <w:rsid w:val="00CF1504"/>
    <w:rsid w:val="00CF4C88"/>
    <w:rsid w:val="00CF5C78"/>
    <w:rsid w:val="00CF68F0"/>
    <w:rsid w:val="00D02FAA"/>
    <w:rsid w:val="00D0584E"/>
    <w:rsid w:val="00D10C6D"/>
    <w:rsid w:val="00D1143D"/>
    <w:rsid w:val="00D13034"/>
    <w:rsid w:val="00D14A24"/>
    <w:rsid w:val="00D167D4"/>
    <w:rsid w:val="00D22E7C"/>
    <w:rsid w:val="00D3064C"/>
    <w:rsid w:val="00D30A90"/>
    <w:rsid w:val="00D31DE7"/>
    <w:rsid w:val="00D362D5"/>
    <w:rsid w:val="00D364D2"/>
    <w:rsid w:val="00D422BC"/>
    <w:rsid w:val="00D43FCF"/>
    <w:rsid w:val="00D45D43"/>
    <w:rsid w:val="00D52699"/>
    <w:rsid w:val="00D53D67"/>
    <w:rsid w:val="00D55D51"/>
    <w:rsid w:val="00D57C19"/>
    <w:rsid w:val="00D674A4"/>
    <w:rsid w:val="00D7413C"/>
    <w:rsid w:val="00D74DDA"/>
    <w:rsid w:val="00D806AD"/>
    <w:rsid w:val="00D82BFA"/>
    <w:rsid w:val="00D84262"/>
    <w:rsid w:val="00D85635"/>
    <w:rsid w:val="00D87E74"/>
    <w:rsid w:val="00D92A3C"/>
    <w:rsid w:val="00D932AD"/>
    <w:rsid w:val="00D94A96"/>
    <w:rsid w:val="00D96CD4"/>
    <w:rsid w:val="00DA0B5B"/>
    <w:rsid w:val="00DA3C37"/>
    <w:rsid w:val="00DA45AA"/>
    <w:rsid w:val="00DA6E87"/>
    <w:rsid w:val="00DB2E04"/>
    <w:rsid w:val="00DB3A50"/>
    <w:rsid w:val="00DB5D8C"/>
    <w:rsid w:val="00DC5E8D"/>
    <w:rsid w:val="00DD3109"/>
    <w:rsid w:val="00DD7D95"/>
    <w:rsid w:val="00DE14F1"/>
    <w:rsid w:val="00DE68E5"/>
    <w:rsid w:val="00DF2664"/>
    <w:rsid w:val="00DF26A5"/>
    <w:rsid w:val="00DF3C28"/>
    <w:rsid w:val="00E03AA0"/>
    <w:rsid w:val="00E0444E"/>
    <w:rsid w:val="00E05BF0"/>
    <w:rsid w:val="00E12AE5"/>
    <w:rsid w:val="00E14662"/>
    <w:rsid w:val="00E14FBD"/>
    <w:rsid w:val="00E2223D"/>
    <w:rsid w:val="00E23091"/>
    <w:rsid w:val="00E33D63"/>
    <w:rsid w:val="00E36806"/>
    <w:rsid w:val="00E40104"/>
    <w:rsid w:val="00E4687A"/>
    <w:rsid w:val="00E46EF4"/>
    <w:rsid w:val="00E503F9"/>
    <w:rsid w:val="00E519DB"/>
    <w:rsid w:val="00E53635"/>
    <w:rsid w:val="00E54D5F"/>
    <w:rsid w:val="00E5528F"/>
    <w:rsid w:val="00E619CC"/>
    <w:rsid w:val="00E62A96"/>
    <w:rsid w:val="00E6481A"/>
    <w:rsid w:val="00E65050"/>
    <w:rsid w:val="00E66A88"/>
    <w:rsid w:val="00E67359"/>
    <w:rsid w:val="00E75BC2"/>
    <w:rsid w:val="00E8367E"/>
    <w:rsid w:val="00E9035A"/>
    <w:rsid w:val="00E97AA9"/>
    <w:rsid w:val="00EA0A94"/>
    <w:rsid w:val="00EA3CDF"/>
    <w:rsid w:val="00EA531D"/>
    <w:rsid w:val="00EA5CA7"/>
    <w:rsid w:val="00EB1543"/>
    <w:rsid w:val="00EC11B6"/>
    <w:rsid w:val="00EC3249"/>
    <w:rsid w:val="00EC3B32"/>
    <w:rsid w:val="00EC5A03"/>
    <w:rsid w:val="00ED1BFA"/>
    <w:rsid w:val="00ED4FC1"/>
    <w:rsid w:val="00ED7ABA"/>
    <w:rsid w:val="00ED7B6A"/>
    <w:rsid w:val="00EE72F5"/>
    <w:rsid w:val="00EF70FE"/>
    <w:rsid w:val="00F00AC5"/>
    <w:rsid w:val="00F03A3E"/>
    <w:rsid w:val="00F0427B"/>
    <w:rsid w:val="00F054F2"/>
    <w:rsid w:val="00F05EAA"/>
    <w:rsid w:val="00F11976"/>
    <w:rsid w:val="00F1692B"/>
    <w:rsid w:val="00F2490F"/>
    <w:rsid w:val="00F24FCA"/>
    <w:rsid w:val="00F2574F"/>
    <w:rsid w:val="00F476A0"/>
    <w:rsid w:val="00F5101E"/>
    <w:rsid w:val="00F52120"/>
    <w:rsid w:val="00F53F05"/>
    <w:rsid w:val="00F56F24"/>
    <w:rsid w:val="00F57D1A"/>
    <w:rsid w:val="00F6436D"/>
    <w:rsid w:val="00F6639B"/>
    <w:rsid w:val="00F67D4F"/>
    <w:rsid w:val="00F736FE"/>
    <w:rsid w:val="00F75945"/>
    <w:rsid w:val="00F8158C"/>
    <w:rsid w:val="00F844BB"/>
    <w:rsid w:val="00F91675"/>
    <w:rsid w:val="00F9347F"/>
    <w:rsid w:val="00FA34B7"/>
    <w:rsid w:val="00FA4DF0"/>
    <w:rsid w:val="00FA4DFF"/>
    <w:rsid w:val="00FA567E"/>
    <w:rsid w:val="00FB0D7E"/>
    <w:rsid w:val="00FB5AA1"/>
    <w:rsid w:val="00FC16A9"/>
    <w:rsid w:val="00FC2B7A"/>
    <w:rsid w:val="00FC3D70"/>
    <w:rsid w:val="00FD06D3"/>
    <w:rsid w:val="00FD0A6E"/>
    <w:rsid w:val="00FD45E0"/>
    <w:rsid w:val="00FD5650"/>
    <w:rsid w:val="00FE1EB0"/>
    <w:rsid w:val="00FE516C"/>
    <w:rsid w:val="00FE5C39"/>
    <w:rsid w:val="00FE6720"/>
    <w:rsid w:val="00FE6B4F"/>
    <w:rsid w:val="00FF2AB4"/>
    <w:rsid w:val="00FF673C"/>
    <w:rsid w:val="01A7B13E"/>
    <w:rsid w:val="01CE5926"/>
    <w:rsid w:val="02B201B5"/>
    <w:rsid w:val="02D5BB9A"/>
    <w:rsid w:val="02DCDE72"/>
    <w:rsid w:val="02FE024E"/>
    <w:rsid w:val="034709E3"/>
    <w:rsid w:val="03D17206"/>
    <w:rsid w:val="040553DC"/>
    <w:rsid w:val="04A0B5CD"/>
    <w:rsid w:val="04E6307D"/>
    <w:rsid w:val="05932564"/>
    <w:rsid w:val="07762742"/>
    <w:rsid w:val="07EAF31A"/>
    <w:rsid w:val="07F7ACFF"/>
    <w:rsid w:val="0955FE87"/>
    <w:rsid w:val="0ABE14E7"/>
    <w:rsid w:val="0B40715B"/>
    <w:rsid w:val="0B56E071"/>
    <w:rsid w:val="0CCF8DF9"/>
    <w:rsid w:val="0D661CF0"/>
    <w:rsid w:val="0E5A55B0"/>
    <w:rsid w:val="0FDE5DD0"/>
    <w:rsid w:val="0FE75238"/>
    <w:rsid w:val="1016242F"/>
    <w:rsid w:val="103D3DA7"/>
    <w:rsid w:val="108917F1"/>
    <w:rsid w:val="11F5CF08"/>
    <w:rsid w:val="127098FB"/>
    <w:rsid w:val="13305E1F"/>
    <w:rsid w:val="13893EE8"/>
    <w:rsid w:val="13BFA0ED"/>
    <w:rsid w:val="13C3F333"/>
    <w:rsid w:val="143348CC"/>
    <w:rsid w:val="1483BD02"/>
    <w:rsid w:val="148C1CE4"/>
    <w:rsid w:val="14AB6467"/>
    <w:rsid w:val="14AE511B"/>
    <w:rsid w:val="14CFD619"/>
    <w:rsid w:val="16725759"/>
    <w:rsid w:val="17273007"/>
    <w:rsid w:val="17B8D19C"/>
    <w:rsid w:val="183832C4"/>
    <w:rsid w:val="18CE563D"/>
    <w:rsid w:val="18D51CC7"/>
    <w:rsid w:val="18F58E0B"/>
    <w:rsid w:val="1908CB68"/>
    <w:rsid w:val="19482FD4"/>
    <w:rsid w:val="1A0E3A36"/>
    <w:rsid w:val="1A1322FF"/>
    <w:rsid w:val="1ACA2769"/>
    <w:rsid w:val="1C19CE64"/>
    <w:rsid w:val="1D17E12A"/>
    <w:rsid w:val="1E1B1E34"/>
    <w:rsid w:val="1F1330FD"/>
    <w:rsid w:val="1F6934C4"/>
    <w:rsid w:val="1F979E7C"/>
    <w:rsid w:val="201C59C7"/>
    <w:rsid w:val="204D25AC"/>
    <w:rsid w:val="2086DACF"/>
    <w:rsid w:val="216C31FC"/>
    <w:rsid w:val="21A0A911"/>
    <w:rsid w:val="23E33657"/>
    <w:rsid w:val="23E5ACB7"/>
    <w:rsid w:val="23FA428F"/>
    <w:rsid w:val="24329E76"/>
    <w:rsid w:val="24425E5F"/>
    <w:rsid w:val="2461D7DF"/>
    <w:rsid w:val="248D2A46"/>
    <w:rsid w:val="250BA191"/>
    <w:rsid w:val="2568C362"/>
    <w:rsid w:val="261805D0"/>
    <w:rsid w:val="26E6F30F"/>
    <w:rsid w:val="271F75B5"/>
    <w:rsid w:val="274F26C3"/>
    <w:rsid w:val="2901225E"/>
    <w:rsid w:val="294FFEDA"/>
    <w:rsid w:val="29C028BC"/>
    <w:rsid w:val="29D897E2"/>
    <w:rsid w:val="29DF9B0C"/>
    <w:rsid w:val="2A20324D"/>
    <w:rsid w:val="2A4EBA12"/>
    <w:rsid w:val="2B65B462"/>
    <w:rsid w:val="2B9B036F"/>
    <w:rsid w:val="2C8762E2"/>
    <w:rsid w:val="2D3AB1F0"/>
    <w:rsid w:val="2E18883C"/>
    <w:rsid w:val="2E37EB63"/>
    <w:rsid w:val="2F165088"/>
    <w:rsid w:val="2F1F7188"/>
    <w:rsid w:val="2FE7DB0B"/>
    <w:rsid w:val="3034A97C"/>
    <w:rsid w:val="305F042E"/>
    <w:rsid w:val="30897E55"/>
    <w:rsid w:val="30A718F2"/>
    <w:rsid w:val="311DD0BF"/>
    <w:rsid w:val="326DA108"/>
    <w:rsid w:val="330B6982"/>
    <w:rsid w:val="33885D21"/>
    <w:rsid w:val="342B13B3"/>
    <w:rsid w:val="3492173D"/>
    <w:rsid w:val="34A8D9C7"/>
    <w:rsid w:val="34DF0B10"/>
    <w:rsid w:val="34F1C41B"/>
    <w:rsid w:val="354FC54F"/>
    <w:rsid w:val="35F5D660"/>
    <w:rsid w:val="364635B2"/>
    <w:rsid w:val="368C7BDC"/>
    <w:rsid w:val="3692571D"/>
    <w:rsid w:val="38E8F5B3"/>
    <w:rsid w:val="3924A943"/>
    <w:rsid w:val="39A470C9"/>
    <w:rsid w:val="3A768610"/>
    <w:rsid w:val="3AB336FF"/>
    <w:rsid w:val="3B38F0B5"/>
    <w:rsid w:val="3C4F8DE5"/>
    <w:rsid w:val="3E7AA921"/>
    <w:rsid w:val="3EDB7932"/>
    <w:rsid w:val="3EE312AE"/>
    <w:rsid w:val="3EE4221C"/>
    <w:rsid w:val="3F096C84"/>
    <w:rsid w:val="3F75D9A6"/>
    <w:rsid w:val="3FC85245"/>
    <w:rsid w:val="3FF09EA6"/>
    <w:rsid w:val="40612C95"/>
    <w:rsid w:val="412AE14F"/>
    <w:rsid w:val="41467F74"/>
    <w:rsid w:val="415E5AC4"/>
    <w:rsid w:val="42751DB8"/>
    <w:rsid w:val="42CC9267"/>
    <w:rsid w:val="4388E235"/>
    <w:rsid w:val="43B9DEDF"/>
    <w:rsid w:val="43BDF545"/>
    <w:rsid w:val="4491A1B1"/>
    <w:rsid w:val="44E78C4F"/>
    <w:rsid w:val="45042C03"/>
    <w:rsid w:val="4550CE9B"/>
    <w:rsid w:val="465DC830"/>
    <w:rsid w:val="4693DDCB"/>
    <w:rsid w:val="46B86942"/>
    <w:rsid w:val="470B7B27"/>
    <w:rsid w:val="470C8387"/>
    <w:rsid w:val="47A40F7E"/>
    <w:rsid w:val="47BAA385"/>
    <w:rsid w:val="47D223FB"/>
    <w:rsid w:val="4870F882"/>
    <w:rsid w:val="48821A3F"/>
    <w:rsid w:val="494348F0"/>
    <w:rsid w:val="4991C166"/>
    <w:rsid w:val="4A94DAA0"/>
    <w:rsid w:val="4AE6F1EC"/>
    <w:rsid w:val="4C19C78A"/>
    <w:rsid w:val="4DBA2AE0"/>
    <w:rsid w:val="4DC146A5"/>
    <w:rsid w:val="4DEFC05A"/>
    <w:rsid w:val="4DFBC9EF"/>
    <w:rsid w:val="4E1CDDF7"/>
    <w:rsid w:val="4FD4E39A"/>
    <w:rsid w:val="4FDA861B"/>
    <w:rsid w:val="503F6A84"/>
    <w:rsid w:val="50E76190"/>
    <w:rsid w:val="50F69BAE"/>
    <w:rsid w:val="51155E5C"/>
    <w:rsid w:val="518322EF"/>
    <w:rsid w:val="53BDCC88"/>
    <w:rsid w:val="53D1F6E3"/>
    <w:rsid w:val="5473CD8A"/>
    <w:rsid w:val="551FE99A"/>
    <w:rsid w:val="560053BA"/>
    <w:rsid w:val="566418DB"/>
    <w:rsid w:val="569497E4"/>
    <w:rsid w:val="56A80482"/>
    <w:rsid w:val="56DB6ED3"/>
    <w:rsid w:val="57031577"/>
    <w:rsid w:val="5711D7E6"/>
    <w:rsid w:val="5763B3B0"/>
    <w:rsid w:val="58274185"/>
    <w:rsid w:val="594E10DA"/>
    <w:rsid w:val="59FB6102"/>
    <w:rsid w:val="5AA9FBE9"/>
    <w:rsid w:val="5ABC9613"/>
    <w:rsid w:val="5AEA2B73"/>
    <w:rsid w:val="5C781AA1"/>
    <w:rsid w:val="5CD25D5E"/>
    <w:rsid w:val="5D5AB07E"/>
    <w:rsid w:val="5E728A7C"/>
    <w:rsid w:val="5F048B14"/>
    <w:rsid w:val="60F4F677"/>
    <w:rsid w:val="614E1364"/>
    <w:rsid w:val="61CD7E18"/>
    <w:rsid w:val="62CDFDC9"/>
    <w:rsid w:val="632E985F"/>
    <w:rsid w:val="63660EAC"/>
    <w:rsid w:val="63A448D6"/>
    <w:rsid w:val="63BB5A82"/>
    <w:rsid w:val="63F7DFE5"/>
    <w:rsid w:val="6417CE20"/>
    <w:rsid w:val="643A5761"/>
    <w:rsid w:val="6464B010"/>
    <w:rsid w:val="651DD408"/>
    <w:rsid w:val="65B31E5F"/>
    <w:rsid w:val="662E9674"/>
    <w:rsid w:val="66B8EA6B"/>
    <w:rsid w:val="672F5657"/>
    <w:rsid w:val="67584590"/>
    <w:rsid w:val="69ADC6BB"/>
    <w:rsid w:val="69F40D50"/>
    <w:rsid w:val="6B039092"/>
    <w:rsid w:val="6B0810A8"/>
    <w:rsid w:val="6B0E3037"/>
    <w:rsid w:val="6D4F3FE9"/>
    <w:rsid w:val="6DF448CE"/>
    <w:rsid w:val="6FB1D914"/>
    <w:rsid w:val="6FDD3D0F"/>
    <w:rsid w:val="70503B5E"/>
    <w:rsid w:val="70566AF4"/>
    <w:rsid w:val="70AD6DC9"/>
    <w:rsid w:val="70BE64FB"/>
    <w:rsid w:val="71AD2152"/>
    <w:rsid w:val="71B6BAD6"/>
    <w:rsid w:val="71F3EDAF"/>
    <w:rsid w:val="732BC527"/>
    <w:rsid w:val="7402EC28"/>
    <w:rsid w:val="74628308"/>
    <w:rsid w:val="74A35791"/>
    <w:rsid w:val="75878634"/>
    <w:rsid w:val="75EBA5ED"/>
    <w:rsid w:val="76584803"/>
    <w:rsid w:val="76F870C5"/>
    <w:rsid w:val="7706BA42"/>
    <w:rsid w:val="772EEFD6"/>
    <w:rsid w:val="77D491B0"/>
    <w:rsid w:val="78D37678"/>
    <w:rsid w:val="79138459"/>
    <w:rsid w:val="7A3D0501"/>
    <w:rsid w:val="7A85BE6E"/>
    <w:rsid w:val="7AEE7738"/>
    <w:rsid w:val="7BCA0216"/>
    <w:rsid w:val="7BCDB9FB"/>
    <w:rsid w:val="7D1FE89A"/>
    <w:rsid w:val="7D33635E"/>
    <w:rsid w:val="7D870715"/>
    <w:rsid w:val="7D965AE6"/>
    <w:rsid w:val="7E66D736"/>
    <w:rsid w:val="7EB7383A"/>
    <w:rsid w:val="7EBA9F0E"/>
    <w:rsid w:val="7F0A9485"/>
    <w:rsid w:val="7F1EDC58"/>
    <w:rsid w:val="7FE19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7CDE0D"/>
  <w15:chartTrackingRefBased/>
  <w15:docId w15:val="{B3C17EBA-44BE-4E15-A221-377BF0F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A018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18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18D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7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2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inicaltrials.gov" TargetMode="External"/><Relationship Id="rId5" Type="http://schemas.openxmlformats.org/officeDocument/2006/relationships/hyperlink" Target="https://doi.org/10.3390/metabo12090809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G.Bertoli</dc:creator>
  <cp:keywords/>
  <dc:description/>
  <cp:lastModifiedBy>G.Bertoli</cp:lastModifiedBy>
  <cp:revision>2</cp:revision>
  <dcterms:created xsi:type="dcterms:W3CDTF">2024-12-16T09:29:00Z</dcterms:created>
  <dcterms:modified xsi:type="dcterms:W3CDTF">2024-12-16T09:29:00Z</dcterms:modified>
</cp:coreProperties>
</file>